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cs="Calibri" w:asciiTheme="minorHAnsi" w:cstheme="minorHAnsi" w:hAnsiTheme="minorHAnsi"/>
          <w:sz w:val="24"/>
          <w:szCs w:val="24"/>
          <w:lang w:val="en-US"/>
        </w:rPr>
      </w:pPr>
      <w:r>
        <w:rPr/>
        <w:drawing>
          <wp:inline distT="0" distB="0" distL="0" distR="0">
            <wp:extent cx="797560" cy="789305"/>
            <wp:effectExtent l="0" t="0" r="0" b="0"/>
            <wp:docPr id="1" name="Εικόνα 1" descr="ETHNOSH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ETHNOSHMO"/>
                    <pic:cNvPicPr>
                      <a:picLocks noChangeAspect="1" noChangeArrowheads="1"/>
                    </pic:cNvPicPr>
                  </pic:nvPicPr>
                  <pic:blipFill>
                    <a:blip r:embed="rId2"/>
                    <a:stretch>
                      <a:fillRect/>
                    </a:stretch>
                  </pic:blipFill>
                  <pic:spPr bwMode="auto">
                    <a:xfrm>
                      <a:off x="0" y="0"/>
                      <a:ext cx="797560" cy="789305"/>
                    </a:xfrm>
                    <a:prstGeom prst="rect">
                      <a:avLst/>
                    </a:prstGeom>
                  </pic:spPr>
                </pic:pic>
              </a:graphicData>
            </a:graphic>
          </wp:inline>
        </w:drawing>
      </w:r>
    </w:p>
    <w:tbl>
      <w:tblPr>
        <w:tblW w:w="9464" w:type="dxa"/>
        <w:jc w:val="left"/>
        <w:tblInd w:w="0" w:type="dxa"/>
        <w:tblLayout w:type="fixed"/>
        <w:tblCellMar>
          <w:top w:w="0" w:type="dxa"/>
          <w:left w:w="108" w:type="dxa"/>
          <w:bottom w:w="0" w:type="dxa"/>
          <w:right w:w="108" w:type="dxa"/>
        </w:tblCellMar>
        <w:tblLook w:val="00a0"/>
      </w:tblPr>
      <w:tblGrid>
        <w:gridCol w:w="9464"/>
      </w:tblGrid>
      <w:tr>
        <w:trPr>
          <w:trHeight w:val="439" w:hRule="atLeast"/>
        </w:trPr>
        <w:tc>
          <w:tcPr>
            <w:tcW w:w="9464" w:type="dxa"/>
            <w:vMerge w:val="restart"/>
            <w:tcBorders/>
          </w:tcPr>
          <w:p>
            <w:pPr>
              <w:pStyle w:val="Normal"/>
              <w:widowControl w:val="false"/>
              <w:spacing w:before="0" w:after="0"/>
              <w:ind w:left="113" w:right="113" w:hanging="0"/>
              <w:jc w:val="both"/>
              <w:rPr>
                <w:rFonts w:ascii="Calibri" w:hAnsi="Calibri" w:cs="Calibri" w:asciiTheme="minorHAnsi" w:cstheme="minorHAnsi" w:hAnsiTheme="minorHAnsi"/>
                <w:b/>
                <w:b/>
                <w:sz w:val="24"/>
                <w:szCs w:val="24"/>
              </w:rPr>
            </w:pPr>
            <w:r>
              <w:rPr>
                <w:rFonts w:cs="Calibri" w:cstheme="minorHAnsi"/>
                <w:b/>
                <w:sz w:val="24"/>
                <w:szCs w:val="24"/>
              </w:rPr>
              <w:t>ΕΛΛΗΝΙΚΗ ΔΗΜΟΚΡΑΤΙΑ                                        ΑΝΑΡΤΗΤΕΑ ΣΤΟ ΔΙΑΥΓΕΙΑ</w:t>
            </w:r>
          </w:p>
          <w:p>
            <w:pPr>
              <w:pStyle w:val="Normal"/>
              <w:widowControl w:val="false"/>
              <w:spacing w:before="0" w:after="0"/>
              <w:ind w:left="113" w:right="113" w:hanging="0"/>
              <w:jc w:val="both"/>
              <w:rPr>
                <w:rFonts w:ascii="Calibri" w:hAnsi="Calibri" w:cs="Calibri" w:asciiTheme="minorHAnsi" w:cstheme="minorHAnsi" w:hAnsiTheme="minorHAnsi"/>
                <w:b/>
                <w:b/>
                <w:sz w:val="24"/>
                <w:szCs w:val="24"/>
              </w:rPr>
            </w:pPr>
            <w:r>
              <w:rPr>
                <w:rFonts w:cs="Calibri" w:cstheme="minorHAnsi"/>
                <w:b/>
                <w:sz w:val="24"/>
                <w:szCs w:val="24"/>
              </w:rPr>
              <w:t xml:space="preserve">ΥΠΟΥΡΓΕΙΟ ΕΡΓΑΣΙΑΣ                                                 </w:t>
            </w:r>
          </w:p>
          <w:p>
            <w:pPr>
              <w:pStyle w:val="Normal"/>
              <w:widowControl w:val="false"/>
              <w:spacing w:before="0" w:after="0"/>
              <w:ind w:left="113" w:right="113" w:hanging="0"/>
              <w:jc w:val="both"/>
              <w:rPr>
                <w:rFonts w:ascii="Calibri" w:hAnsi="Calibri" w:cs="Calibri" w:asciiTheme="minorHAnsi" w:cstheme="minorHAnsi" w:hAnsiTheme="minorHAnsi"/>
                <w:b/>
                <w:b/>
                <w:sz w:val="24"/>
                <w:szCs w:val="24"/>
              </w:rPr>
            </w:pPr>
            <w:r>
              <w:rPr>
                <w:rFonts w:cs="Calibri" w:cstheme="minorHAnsi"/>
                <w:b/>
                <w:sz w:val="24"/>
                <w:szCs w:val="24"/>
              </w:rPr>
              <w:t xml:space="preserve">ΚΑΙ ΚΟΙΝΩΝΙΚΩΝ ΥΠΟΘΕΣΕΩΝ </w:t>
            </w:r>
          </w:p>
          <w:p>
            <w:pPr>
              <w:pStyle w:val="Normal"/>
              <w:widowControl w:val="false"/>
              <w:spacing w:before="0" w:after="0"/>
              <w:ind w:left="113" w:right="113" w:hanging="0"/>
              <w:jc w:val="both"/>
              <w:rPr>
                <w:rFonts w:ascii="Calibri" w:hAnsi="Calibri" w:cs="Calibri" w:asciiTheme="minorHAnsi" w:cstheme="minorHAnsi" w:hAnsiTheme="minorHAnsi"/>
                <w:b/>
                <w:b/>
                <w:sz w:val="24"/>
                <w:szCs w:val="24"/>
              </w:rPr>
            </w:pPr>
            <w:r>
              <w:rPr>
                <w:rFonts w:cs="Calibri" w:cstheme="minorHAnsi"/>
                <w:b/>
                <w:sz w:val="24"/>
                <w:szCs w:val="24"/>
              </w:rPr>
              <w:t xml:space="preserve">ΓΕΝΙΚΗ ΓΡΑΜΜΑΤΕΙΑ ΕΡΓΑΣΙΑΣ                               Αθήνα,  </w:t>
            </w:r>
          </w:p>
          <w:p>
            <w:pPr>
              <w:pStyle w:val="Normal"/>
              <w:widowControl w:val="false"/>
              <w:spacing w:before="0" w:after="0"/>
              <w:ind w:left="113" w:right="113" w:hanging="0"/>
              <w:jc w:val="both"/>
              <w:rPr>
                <w:rFonts w:ascii="Calibri" w:hAnsi="Calibri" w:cs="Calibri" w:asciiTheme="minorHAnsi" w:cstheme="minorHAnsi" w:hAnsiTheme="minorHAnsi"/>
                <w:b/>
                <w:b/>
                <w:sz w:val="24"/>
                <w:szCs w:val="24"/>
              </w:rPr>
            </w:pPr>
            <w:r>
              <w:rPr>
                <w:rFonts w:cs="Calibri" w:cstheme="minorHAnsi"/>
                <w:b/>
                <w:sz w:val="24"/>
                <w:szCs w:val="24"/>
              </w:rPr>
              <w:t xml:space="preserve">ΓΕΝΙΚΗ Δ/ΝΣΗ ΕΡΓΑΣΙΑΚΩΝ ΣΧΕΣΕΩΝ                    Α.Π: οικ.  </w:t>
            </w:r>
          </w:p>
          <w:p>
            <w:pPr>
              <w:pStyle w:val="Normal"/>
              <w:widowControl w:val="false"/>
              <w:spacing w:before="0" w:after="0"/>
              <w:ind w:left="113" w:right="113" w:hanging="0"/>
              <w:jc w:val="both"/>
              <w:rPr>
                <w:rFonts w:ascii="Calibri" w:hAnsi="Calibri" w:cs="Calibri" w:asciiTheme="minorHAnsi" w:cstheme="minorHAnsi" w:hAnsiTheme="minorHAnsi"/>
                <w:b/>
                <w:b/>
                <w:sz w:val="24"/>
                <w:szCs w:val="24"/>
              </w:rPr>
            </w:pPr>
            <w:r>
              <w:rPr>
                <w:rFonts w:cs="Calibri" w:cstheme="minorHAnsi"/>
                <w:b/>
                <w:sz w:val="24"/>
                <w:szCs w:val="24"/>
              </w:rPr>
              <w:t>ΥΓΕΙΑΣ ΚΑΙ ΑΣΦΑΛΕΙΑΣ ΣΤΗΝ ΕΡΓΑΣΙΑ</w:t>
            </w:r>
          </w:p>
          <w:p>
            <w:pPr>
              <w:pStyle w:val="Normal"/>
              <w:widowControl w:val="false"/>
              <w:spacing w:before="0" w:after="0"/>
              <w:ind w:left="113" w:right="113" w:hanging="0"/>
              <w:jc w:val="both"/>
              <w:rPr>
                <w:rFonts w:ascii="Calibri" w:hAnsi="Calibri" w:cs="Calibri" w:asciiTheme="minorHAnsi" w:cstheme="minorHAnsi" w:hAnsiTheme="minorHAnsi"/>
                <w:b/>
                <w:b/>
                <w:sz w:val="24"/>
                <w:szCs w:val="24"/>
              </w:rPr>
            </w:pPr>
            <w:r>
              <w:rPr>
                <w:rFonts w:cs="Calibri" w:cstheme="minorHAnsi"/>
                <w:b/>
                <w:sz w:val="24"/>
                <w:szCs w:val="24"/>
              </w:rPr>
              <w:t>ΚΑΙ ΕΝΤΑΞΗΣ ΣΤΗΝ ΕΡΓΑΣΙΑ</w:t>
            </w:r>
          </w:p>
          <w:p>
            <w:pPr>
              <w:pStyle w:val="Normal"/>
              <w:widowControl w:val="false"/>
              <w:spacing w:before="0" w:after="0"/>
              <w:ind w:left="113" w:right="113" w:hanging="0"/>
              <w:jc w:val="both"/>
              <w:rPr>
                <w:rFonts w:ascii="Calibri" w:hAnsi="Calibri" w:cs="Calibri" w:asciiTheme="minorHAnsi" w:cstheme="minorHAnsi" w:hAnsiTheme="minorHAnsi"/>
                <w:b/>
                <w:b/>
                <w:sz w:val="24"/>
                <w:szCs w:val="24"/>
              </w:rPr>
            </w:pPr>
            <w:r>
              <w:rPr>
                <w:rFonts w:cs="Calibri" w:cstheme="minorHAnsi"/>
                <w:b/>
                <w:sz w:val="24"/>
                <w:szCs w:val="24"/>
              </w:rPr>
              <w:t xml:space="preserve">Δ/ΝΣΗ ΕΝΤΑΞΗΣ ΣΤΗΝ ΕΡΓΑΣΙΑ </w:t>
            </w:r>
          </w:p>
          <w:p>
            <w:pPr>
              <w:pStyle w:val="Normal"/>
              <w:widowControl w:val="false"/>
              <w:spacing w:before="0" w:after="0"/>
              <w:ind w:left="113" w:right="113" w:hanging="0"/>
              <w:jc w:val="both"/>
              <w:rPr>
                <w:rFonts w:ascii="Calibri" w:hAnsi="Calibri" w:cs="Calibri" w:asciiTheme="minorHAnsi" w:cstheme="minorHAnsi" w:hAnsiTheme="minorHAnsi"/>
                <w:b/>
                <w:b/>
                <w:sz w:val="24"/>
                <w:szCs w:val="24"/>
              </w:rPr>
            </w:pPr>
            <w:r>
              <w:rPr>
                <w:rFonts w:cs="Calibri" w:cstheme="minorHAnsi"/>
                <w:b/>
                <w:sz w:val="24"/>
                <w:szCs w:val="24"/>
              </w:rPr>
              <w:t>ΔΙΕΥΘΥΝΣΗ ΑΤΟΜΙΚΩΝ ΡΥΘΜΙΣΕΩΝ</w:t>
            </w:r>
          </w:p>
        </w:tc>
      </w:tr>
      <w:tr>
        <w:trPr>
          <w:trHeight w:val="439" w:hRule="atLeast"/>
        </w:trPr>
        <w:tc>
          <w:tcPr>
            <w:tcW w:w="9464" w:type="dxa"/>
            <w:vMerge w:val="continue"/>
            <w:tcBorders/>
          </w:tcPr>
          <w:p>
            <w:pPr>
              <w:pStyle w:val="Normal"/>
              <w:widowControl w:val="false"/>
              <w:spacing w:before="0" w:after="0"/>
              <w:ind w:left="113" w:right="113" w:hanging="0"/>
              <w:jc w:val="both"/>
              <w:rPr>
                <w:rFonts w:ascii="Calibri" w:hAnsi="Calibri" w:cs="Calibri" w:asciiTheme="minorHAnsi" w:cstheme="minorHAnsi" w:hAnsiTheme="minorHAnsi"/>
                <w:sz w:val="24"/>
                <w:szCs w:val="24"/>
              </w:rPr>
            </w:pPr>
            <w:r>
              <w:rPr>
                <w:rFonts w:cs="Calibri" w:cstheme="minorHAnsi"/>
                <w:sz w:val="24"/>
                <w:szCs w:val="24"/>
              </w:rPr>
            </w:r>
          </w:p>
        </w:tc>
      </w:tr>
      <w:tr>
        <w:trPr>
          <w:trHeight w:val="1243" w:hRule="atLeast"/>
        </w:trPr>
        <w:tc>
          <w:tcPr>
            <w:tcW w:w="9464" w:type="dxa"/>
            <w:tcBorders/>
          </w:tcPr>
          <w:p>
            <w:pPr>
              <w:pStyle w:val="Normal"/>
              <w:widowControl w:val="false"/>
              <w:spacing w:before="0" w:after="0"/>
              <w:ind w:left="113" w:right="113" w:hanging="0"/>
              <w:rPr>
                <w:rFonts w:ascii="Calibri" w:hAnsi="Calibri" w:cs="Calibri" w:asciiTheme="minorHAnsi" w:cstheme="minorHAnsi" w:hAnsiTheme="minorHAnsi"/>
                <w:sz w:val="24"/>
                <w:szCs w:val="24"/>
              </w:rPr>
            </w:pPr>
            <w:r>
              <w:rPr>
                <w:rFonts w:cs="Calibri" w:cstheme="minorHAnsi"/>
                <w:b/>
                <w:bCs/>
                <w:sz w:val="24"/>
                <w:szCs w:val="24"/>
              </w:rPr>
              <w:t>Ταχ. Δ/νση</w:t>
            </w:r>
            <w:r>
              <w:rPr>
                <w:rFonts w:cs="Calibri" w:cstheme="minorHAnsi"/>
                <w:sz w:val="24"/>
                <w:szCs w:val="24"/>
              </w:rPr>
              <w:t xml:space="preserve">: </w:t>
            </w:r>
            <w:r>
              <w:rPr>
                <w:rFonts w:cs="Calibri" w:cstheme="minorHAnsi"/>
                <w:bCs/>
                <w:sz w:val="24"/>
                <w:szCs w:val="24"/>
              </w:rPr>
              <w:t>Σταδίου 29</w:t>
            </w:r>
            <w:r>
              <w:rPr>
                <w:rFonts w:cs="Calibri" w:cstheme="minorHAnsi"/>
                <w:sz w:val="24"/>
                <w:szCs w:val="24"/>
              </w:rPr>
              <w:t xml:space="preserve"> </w:t>
            </w:r>
          </w:p>
          <w:p>
            <w:pPr>
              <w:pStyle w:val="Normal"/>
              <w:widowControl w:val="false"/>
              <w:spacing w:before="0" w:after="0"/>
              <w:ind w:left="113" w:right="113" w:hanging="0"/>
              <w:rPr>
                <w:rFonts w:ascii="Calibri" w:hAnsi="Calibri" w:cs="Calibri" w:asciiTheme="minorHAnsi" w:cstheme="minorHAnsi" w:hAnsiTheme="minorHAnsi"/>
                <w:sz w:val="24"/>
                <w:szCs w:val="24"/>
              </w:rPr>
            </w:pPr>
            <w:r>
              <w:rPr>
                <w:rFonts w:cs="Calibri" w:cstheme="minorHAnsi"/>
                <w:b/>
                <w:bCs/>
                <w:sz w:val="24"/>
                <w:szCs w:val="24"/>
              </w:rPr>
              <w:t>Ταχ. Κώδικας</w:t>
            </w:r>
            <w:r>
              <w:rPr>
                <w:rFonts w:cs="Calibri" w:cstheme="minorHAnsi"/>
                <w:sz w:val="24"/>
                <w:szCs w:val="24"/>
              </w:rPr>
              <w:t xml:space="preserve">: </w:t>
            </w:r>
            <w:r>
              <w:rPr>
                <w:rFonts w:cs="Calibri" w:cstheme="minorHAnsi"/>
                <w:bCs/>
                <w:sz w:val="24"/>
                <w:szCs w:val="24"/>
              </w:rPr>
              <w:t>10110</w:t>
            </w:r>
          </w:p>
          <w:p>
            <w:pPr>
              <w:pStyle w:val="Normal"/>
              <w:widowControl w:val="false"/>
              <w:spacing w:before="0" w:after="0"/>
              <w:ind w:left="113" w:right="113" w:hanging="0"/>
              <w:rPr>
                <w:rFonts w:ascii="Calibri" w:hAnsi="Calibri" w:cs="Calibri" w:asciiTheme="minorHAnsi" w:cstheme="minorHAnsi" w:hAnsiTheme="minorHAnsi"/>
                <w:bCs/>
                <w:sz w:val="24"/>
                <w:szCs w:val="24"/>
              </w:rPr>
            </w:pPr>
            <w:r>
              <w:rPr>
                <w:rFonts w:cs="Calibri" w:cstheme="minorHAnsi"/>
                <w:b/>
                <w:bCs/>
                <w:sz w:val="24"/>
                <w:szCs w:val="24"/>
              </w:rPr>
              <w:t>Τηλ</w:t>
            </w:r>
            <w:r>
              <w:rPr>
                <w:rFonts w:cs="Calibri" w:cstheme="minorHAnsi"/>
                <w:bCs/>
                <w:sz w:val="24"/>
                <w:szCs w:val="24"/>
              </w:rPr>
              <w:t>.: 213 1516</w:t>
            </w:r>
            <w:r>
              <w:rPr>
                <w:rFonts w:cs="Calibri" w:cstheme="minorHAnsi"/>
                <w:bCs/>
                <w:sz w:val="24"/>
                <w:szCs w:val="24"/>
                <w:lang w:val="en-US"/>
              </w:rPr>
              <w:t>0</w:t>
            </w:r>
            <w:r>
              <w:rPr>
                <w:rFonts w:cs="Calibri" w:cstheme="minorHAnsi"/>
                <w:bCs/>
                <w:sz w:val="24"/>
                <w:szCs w:val="24"/>
              </w:rPr>
              <w:t>9</w:t>
            </w:r>
            <w:r>
              <w:rPr>
                <w:rFonts w:cs="Calibri" w:cstheme="minorHAnsi"/>
                <w:bCs/>
                <w:sz w:val="24"/>
                <w:szCs w:val="24"/>
                <w:lang w:val="en-US"/>
              </w:rPr>
              <w:t>1</w:t>
            </w:r>
            <w:r>
              <w:rPr>
                <w:rFonts w:cs="Calibri" w:cstheme="minorHAnsi"/>
                <w:bCs/>
                <w:sz w:val="24"/>
                <w:szCs w:val="24"/>
              </w:rPr>
              <w:t>, 037, 112,071, 485</w:t>
            </w:r>
          </w:p>
          <w:p>
            <w:pPr>
              <w:pStyle w:val="Normal"/>
              <w:widowControl w:val="false"/>
              <w:spacing w:before="0" w:after="0"/>
              <w:ind w:left="113" w:right="113" w:hanging="0"/>
              <w:rPr>
                <w:rFonts w:ascii="Calibri" w:hAnsi="Calibri" w:cs="Calibri" w:asciiTheme="minorHAnsi" w:cstheme="minorHAnsi" w:hAnsiTheme="minorHAnsi"/>
                <w:sz w:val="24"/>
                <w:szCs w:val="24"/>
              </w:rPr>
            </w:pPr>
            <w:r>
              <w:rPr>
                <w:rFonts w:cs="Calibri" w:cstheme="minorHAnsi"/>
                <w:sz w:val="24"/>
                <w:szCs w:val="24"/>
              </w:rPr>
            </w:r>
          </w:p>
        </w:tc>
      </w:tr>
    </w:tbl>
    <w:p>
      <w:pPr>
        <w:pStyle w:val="Normal"/>
        <w:spacing w:before="0" w:after="0"/>
        <w:ind w:left="113" w:right="113" w:hanging="0"/>
        <w:jc w:val="center"/>
        <w:rPr>
          <w:rFonts w:ascii="Calibri" w:hAnsi="Calibri" w:cs="Calibri" w:asciiTheme="minorHAnsi" w:cstheme="minorHAnsi" w:hAnsiTheme="minorHAnsi"/>
          <w:b/>
          <w:b/>
          <w:sz w:val="24"/>
          <w:szCs w:val="24"/>
        </w:rPr>
      </w:pPr>
      <w:r>
        <w:rPr>
          <w:rFonts w:cs="Calibri" w:cstheme="minorHAnsi"/>
          <w:b/>
          <w:sz w:val="24"/>
          <w:szCs w:val="24"/>
        </w:rPr>
        <w:t xml:space="preserve">ΑΠΟΦΑΣΗ </w:t>
      </w:r>
    </w:p>
    <w:p>
      <w:pPr>
        <w:pStyle w:val="Normal"/>
        <w:spacing w:before="0" w:after="0"/>
        <w:jc w:val="both"/>
        <w:rPr>
          <w:rFonts w:ascii="Calibri" w:hAnsi="Calibri" w:cs="Calibri" w:asciiTheme="minorHAnsi" w:cstheme="minorHAnsi" w:hAnsiTheme="minorHAnsi"/>
          <w:sz w:val="24"/>
          <w:szCs w:val="24"/>
        </w:rPr>
      </w:pPr>
      <w:r>
        <w:rPr>
          <w:rFonts w:cs="Calibri" w:cstheme="minorHAnsi"/>
          <w:b/>
          <w:sz w:val="24"/>
          <w:szCs w:val="24"/>
        </w:rPr>
        <w:t xml:space="preserve">ΘΕΜΑ: </w:t>
      </w:r>
      <w:r>
        <w:rPr>
          <w:rFonts w:cs="Calibri" w:cstheme="minorHAnsi"/>
          <w:b/>
          <w:bCs/>
          <w:sz w:val="24"/>
          <w:szCs w:val="24"/>
        </w:rPr>
        <w:t>Αναστολή συμβάσεων εργασίας εργαζομένων σε επιχειρήσεις – εργοδότες του ιδιωτικού τομέα κατά τον μήνα Δεκέμβριο</w:t>
      </w:r>
    </w:p>
    <w:p>
      <w:pPr>
        <w:pStyle w:val="Normal"/>
        <w:spacing w:before="0" w:after="0"/>
        <w:ind w:left="113" w:right="113" w:hanging="0"/>
        <w:jc w:val="center"/>
        <w:rPr>
          <w:rFonts w:ascii="Calibri" w:hAnsi="Calibri" w:cs="Calibri" w:asciiTheme="minorHAnsi" w:cstheme="minorHAnsi" w:hAnsiTheme="minorHAnsi"/>
          <w:b/>
          <w:b/>
          <w:sz w:val="24"/>
          <w:szCs w:val="24"/>
        </w:rPr>
      </w:pPr>
      <w:r>
        <w:rPr>
          <w:rFonts w:cs="Calibri" w:cstheme="minorHAnsi"/>
          <w:b/>
          <w:sz w:val="24"/>
          <w:szCs w:val="24"/>
        </w:rPr>
      </w:r>
    </w:p>
    <w:p>
      <w:pPr>
        <w:pStyle w:val="Normal"/>
        <w:spacing w:before="0" w:after="0"/>
        <w:ind w:left="113" w:right="113" w:hanging="0"/>
        <w:jc w:val="center"/>
        <w:rPr>
          <w:rFonts w:ascii="Calibri" w:hAnsi="Calibri" w:cs="Calibri" w:asciiTheme="minorHAnsi" w:cstheme="minorHAnsi" w:hAnsiTheme="minorHAnsi"/>
          <w:b/>
          <w:b/>
          <w:sz w:val="24"/>
          <w:szCs w:val="24"/>
        </w:rPr>
      </w:pPr>
      <w:r>
        <w:rPr>
          <w:rFonts w:cs="Calibri" w:cstheme="minorHAnsi"/>
          <w:b/>
          <w:sz w:val="24"/>
          <w:szCs w:val="24"/>
        </w:rPr>
        <w:t xml:space="preserve"> </w:t>
      </w:r>
      <w:r>
        <w:rPr>
          <w:rFonts w:cs="Calibri" w:cstheme="minorHAnsi"/>
          <w:b/>
          <w:sz w:val="24"/>
          <w:szCs w:val="24"/>
        </w:rPr>
        <w:t>ΟΙ ΥΠΟΥΡΓΟΙ</w:t>
      </w:r>
    </w:p>
    <w:p>
      <w:pPr>
        <w:pStyle w:val="Normal"/>
        <w:spacing w:before="0" w:after="0"/>
        <w:ind w:left="113" w:right="113" w:hanging="0"/>
        <w:jc w:val="center"/>
        <w:rPr>
          <w:rFonts w:ascii="Calibri" w:hAnsi="Calibri" w:cs="Calibri" w:asciiTheme="minorHAnsi" w:cstheme="minorHAnsi" w:hAnsiTheme="minorHAnsi"/>
          <w:b/>
          <w:b/>
          <w:sz w:val="24"/>
          <w:szCs w:val="24"/>
        </w:rPr>
      </w:pPr>
      <w:r>
        <w:rPr>
          <w:rFonts w:cs="Calibri" w:cstheme="minorHAnsi"/>
          <w:b/>
          <w:sz w:val="24"/>
          <w:szCs w:val="24"/>
        </w:rPr>
        <w:t>ΟΙΚΟΝΟΜΙΚΩΝ – ΕΡΓΑΣΙΑΣ ΚΑΙ ΚΟΙΝΩΝΙΚΩΝ ΥΠΟΘΕΣΕΩΝ</w:t>
      </w:r>
    </w:p>
    <w:p>
      <w:pPr>
        <w:pStyle w:val="Normal"/>
        <w:spacing w:before="0" w:after="0"/>
        <w:ind w:left="113" w:right="113" w:hanging="0"/>
        <w:jc w:val="center"/>
        <w:rPr>
          <w:rFonts w:ascii="Calibri" w:hAnsi="Calibri" w:cs="Calibri" w:asciiTheme="minorHAnsi" w:cstheme="minorHAnsi" w:hAnsiTheme="minorHAnsi"/>
          <w:b/>
          <w:b/>
          <w:sz w:val="24"/>
          <w:szCs w:val="24"/>
        </w:rPr>
      </w:pPr>
      <w:r>
        <w:rPr>
          <w:rFonts w:cs="Calibri" w:cstheme="minorHAnsi"/>
          <w:b/>
          <w:sz w:val="24"/>
          <w:szCs w:val="24"/>
        </w:rPr>
      </w:r>
    </w:p>
    <w:p>
      <w:pPr>
        <w:pStyle w:val="Normal"/>
        <w:jc w:val="both"/>
        <w:rPr>
          <w:rFonts w:ascii="Calibri" w:hAnsi="Calibri" w:cs="Calibri" w:asciiTheme="minorHAnsi" w:cstheme="minorHAnsi" w:hAnsiTheme="minorHAnsi"/>
          <w:sz w:val="24"/>
          <w:szCs w:val="24"/>
        </w:rPr>
      </w:pPr>
      <w:r>
        <w:rPr>
          <w:rFonts w:cs="Calibri" w:cstheme="minorHAnsi"/>
          <w:sz w:val="24"/>
          <w:szCs w:val="24"/>
        </w:rPr>
        <w:t>Έχοντας υπόψη:</w:t>
      </w:r>
    </w:p>
    <w:p>
      <w:pPr>
        <w:pStyle w:val="ListParagraph"/>
        <w:numPr>
          <w:ilvl w:val="0"/>
          <w:numId w:val="1"/>
        </w:numPr>
        <w:spacing w:before="0" w:after="0"/>
        <w:contextualSpacing/>
        <w:jc w:val="both"/>
        <w:rPr>
          <w:rFonts w:ascii="Calibri" w:hAnsi="Calibri" w:cs="Calibri" w:asciiTheme="minorHAnsi" w:cstheme="minorHAnsi" w:hAnsiTheme="minorHAnsi"/>
          <w:sz w:val="24"/>
          <w:szCs w:val="24"/>
        </w:rPr>
      </w:pPr>
      <w:r>
        <w:rPr>
          <w:rFonts w:cs="Calibri" w:cstheme="minorHAnsi"/>
          <w:sz w:val="24"/>
          <w:szCs w:val="24"/>
        </w:rPr>
        <w:t>Το άρθρο 68 του ν. 4756/2020 «Μέτρα ενίσχυσης των εργαζομένων  και ευάλωτων κοινωνικών ομάδων, κοινωνικοσφαλιστικές ρυθμίσεις και διατάξεις  για την ενίσχυση των ανέργων» (Α’ 235).</w:t>
      </w:r>
    </w:p>
    <w:p>
      <w:pPr>
        <w:pStyle w:val="ListParagraph"/>
        <w:numPr>
          <w:ilvl w:val="0"/>
          <w:numId w:val="1"/>
        </w:numPr>
        <w:spacing w:before="0" w:after="0"/>
        <w:contextualSpacing/>
        <w:jc w:val="both"/>
        <w:rPr>
          <w:rFonts w:ascii="Calibri" w:hAnsi="Calibri" w:cs="Calibri" w:asciiTheme="minorHAnsi" w:cstheme="minorHAnsi" w:hAnsiTheme="minorHAnsi"/>
          <w:sz w:val="24"/>
          <w:szCs w:val="24"/>
        </w:rPr>
      </w:pPr>
      <w:r>
        <w:rPr>
          <w:rFonts w:cs="Calibri" w:cstheme="minorHAnsi"/>
          <w:sz w:val="24"/>
          <w:szCs w:val="24"/>
        </w:rPr>
        <w:t>Το άρθρο δέκατο τρίτο της από 14.3.2020 Πράξης Νομοθετικού Περιεχομένου «Κατεπείγοντα μέτρα αντιμετώπισης της ανάγκης περιορισμού της διασποράς του κορωνοϊού COVID-19» (Α΄ 64), όπως κυρώθηκε με το άρθρο 3 του ν. 4682/2020 (Α΄ 76).</w:t>
      </w:r>
    </w:p>
    <w:p>
      <w:pPr>
        <w:pStyle w:val="ListParagraph"/>
        <w:numPr>
          <w:ilvl w:val="0"/>
          <w:numId w:val="1"/>
        </w:numPr>
        <w:spacing w:before="0" w:after="0"/>
        <w:contextualSpacing/>
        <w:jc w:val="both"/>
        <w:rPr>
          <w:rFonts w:ascii="Calibri" w:hAnsi="Calibri" w:cs="Calibri" w:asciiTheme="minorHAnsi" w:cstheme="minorHAnsi" w:hAnsiTheme="minorHAnsi"/>
          <w:sz w:val="24"/>
          <w:szCs w:val="24"/>
        </w:rPr>
      </w:pPr>
      <w:r>
        <w:rPr>
          <w:rFonts w:cs="Calibri" w:cstheme="minorHAnsi"/>
          <w:sz w:val="24"/>
          <w:szCs w:val="24"/>
        </w:rPr>
        <w:t xml:space="preserve">Το άρθρο ενδέκατο της από 20.3.2020 Πράξης Νομοθετικού Περιεχομένου «Κατεπείγοντα μέτρα για την αντιμετώπιση των συνεπειών του κινδύνου διασποράς του κορωνοϊού COVID-19, τη στήριξη της κοινωνίας και της επιχειρηματικότητας και τη διασφάλιση της ομαλής λειτουργίας της αγοράς και της δημόσιας διοίκησης» (Α΄ 68), όπως κυρώθηκε με το άρθρο 1 του ν. 4683/2020 (Α΄ 83). </w:t>
      </w:r>
    </w:p>
    <w:p>
      <w:pPr>
        <w:pStyle w:val="ListParagraph"/>
        <w:numPr>
          <w:ilvl w:val="0"/>
          <w:numId w:val="1"/>
        </w:numPr>
        <w:spacing w:before="0" w:after="0"/>
        <w:contextualSpacing/>
        <w:jc w:val="both"/>
        <w:rPr>
          <w:rFonts w:ascii="Calibri" w:hAnsi="Calibri" w:cs="Calibri" w:asciiTheme="minorHAnsi" w:cstheme="minorHAnsi" w:hAnsiTheme="minorHAnsi"/>
          <w:sz w:val="24"/>
          <w:szCs w:val="24"/>
        </w:rPr>
      </w:pPr>
      <w:r>
        <w:rPr>
          <w:rFonts w:cs="Calibri" w:cstheme="minorHAnsi"/>
          <w:sz w:val="24"/>
          <w:szCs w:val="24"/>
        </w:rPr>
        <w:t>Το άρθρο δωδέκατο της από 1.5.2020 Πράξης Νομοθετικού Περιεχομένου «Περαιτέρω μέτρα για την αντιμετώπιση των συνεχιζόμενων συνεπειών της πανδημίας του κορωνοϊού COVID-19 και την επάνοδο στην κοινωνική και οικονομική κανονικότητα» (Α΄ 90), όπως κυρώθηκε με το άρθρο 2 του  ν. 4690/2020 (Α΄104).</w:t>
      </w:r>
    </w:p>
    <w:p>
      <w:pPr>
        <w:pStyle w:val="ListParagraph"/>
        <w:numPr>
          <w:ilvl w:val="0"/>
          <w:numId w:val="1"/>
        </w:numPr>
        <w:spacing w:before="0" w:after="0"/>
        <w:contextualSpacing/>
        <w:jc w:val="both"/>
        <w:rPr>
          <w:rFonts w:ascii="Calibri" w:hAnsi="Calibri" w:cs="Calibri" w:asciiTheme="minorHAnsi" w:cstheme="minorHAnsi" w:hAnsiTheme="minorHAnsi"/>
          <w:sz w:val="24"/>
          <w:szCs w:val="24"/>
        </w:rPr>
      </w:pPr>
      <w:r>
        <w:rPr>
          <w:rFonts w:cs="Calibri" w:cstheme="minorHAnsi"/>
          <w:sz w:val="24"/>
          <w:szCs w:val="24"/>
        </w:rPr>
        <w:t>Τον ν. 4270/2014 «Αρχές δημοσιονομικής διαχείρισης και εποπτείας (ενσωμάτωση της Οδηγίας 2011/85/ ΕΕ) - δημόσιο λογιστικό και άλλες διατάξεις» (Α΄ 143).</w:t>
      </w:r>
    </w:p>
    <w:p>
      <w:pPr>
        <w:pStyle w:val="ListParagraph"/>
        <w:numPr>
          <w:ilvl w:val="0"/>
          <w:numId w:val="1"/>
        </w:numPr>
        <w:spacing w:before="0" w:after="0"/>
        <w:contextualSpacing/>
        <w:jc w:val="both"/>
        <w:rPr>
          <w:rFonts w:ascii="Calibri" w:hAnsi="Calibri" w:cs="Calibri" w:asciiTheme="minorHAnsi" w:cstheme="minorHAnsi" w:hAnsiTheme="minorHAnsi"/>
          <w:sz w:val="24"/>
          <w:szCs w:val="24"/>
        </w:rPr>
      </w:pPr>
      <w:r>
        <w:rPr>
          <w:rFonts w:cs="Calibri" w:cstheme="minorHAnsi"/>
          <w:sz w:val="24"/>
          <w:szCs w:val="24"/>
        </w:rPr>
        <w:t>Τον ν. 4622/2019 «Επιτελικό Κράτος: οργάνωση, λειτουργία και διαφάνεια της Κυβέρνησης, των κυβερνητικών οργάνων και της κεντρικής δημόσιας διοίκησης» (Α΄ 133).</w:t>
      </w:r>
    </w:p>
    <w:p>
      <w:pPr>
        <w:pStyle w:val="ListParagraph"/>
        <w:numPr>
          <w:ilvl w:val="0"/>
          <w:numId w:val="1"/>
        </w:numPr>
        <w:spacing w:before="0" w:after="0"/>
        <w:contextualSpacing/>
        <w:jc w:val="both"/>
        <w:rPr>
          <w:rFonts w:ascii="Calibri" w:hAnsi="Calibri" w:cs="Calibri" w:asciiTheme="minorHAnsi" w:cstheme="minorHAnsi" w:hAnsiTheme="minorHAnsi"/>
          <w:sz w:val="24"/>
          <w:szCs w:val="24"/>
        </w:rPr>
      </w:pPr>
      <w:r>
        <w:rPr>
          <w:rFonts w:cs="Calibri" w:cstheme="minorHAnsi"/>
          <w:sz w:val="24"/>
          <w:szCs w:val="24"/>
        </w:rPr>
        <w:t>Το άρθρο 90 του κώδικα νομοθεσίας για την Κυβέρνηση και τα κυβερνητικά όργανα, που κυρώθηκε με το άρθρο πρώτο του π.δ. 63/2005 «Κωδικοποίηση της νομοθεσίας για την Κυβέρνηση και τα κυβερνητικά όργανα» (Α΄ 98), όπως ισχύει και διατηρήθηκε σε ισχύ με την παρ. 22 του άρθρου 119 του ν. 4622/2019 (Α΄ 133).</w:t>
      </w:r>
    </w:p>
    <w:p>
      <w:pPr>
        <w:pStyle w:val="ListParagraph"/>
        <w:numPr>
          <w:ilvl w:val="0"/>
          <w:numId w:val="1"/>
        </w:numPr>
        <w:spacing w:before="0" w:after="0"/>
        <w:contextualSpacing/>
        <w:jc w:val="both"/>
        <w:rPr>
          <w:rFonts w:ascii="Calibri" w:hAnsi="Calibri" w:cs="Calibri" w:asciiTheme="minorHAnsi" w:cstheme="minorHAnsi" w:hAnsiTheme="minorHAnsi"/>
          <w:sz w:val="24"/>
          <w:szCs w:val="24"/>
        </w:rPr>
      </w:pPr>
      <w:r>
        <w:rPr>
          <w:rFonts w:cs="Calibri" w:cstheme="minorHAnsi"/>
          <w:sz w:val="24"/>
          <w:szCs w:val="24"/>
        </w:rPr>
        <w:t xml:space="preserve">Την παρ. 2 του άρθρου 12 και παρ. 3 του άρθρου 9 του π.δ. 80/2016 «Ανάληψη υποχρεώσεων από τους διατάκτες» (Α΄ 145), όπως ισχύει. </w:t>
      </w:r>
    </w:p>
    <w:p>
      <w:pPr>
        <w:pStyle w:val="ListParagraph"/>
        <w:numPr>
          <w:ilvl w:val="0"/>
          <w:numId w:val="1"/>
        </w:numPr>
        <w:spacing w:before="0" w:after="0"/>
        <w:contextualSpacing/>
        <w:jc w:val="both"/>
        <w:rPr>
          <w:rFonts w:ascii="Calibri" w:hAnsi="Calibri" w:cs="Calibri" w:asciiTheme="minorHAnsi" w:cstheme="minorHAnsi" w:hAnsiTheme="minorHAnsi"/>
          <w:sz w:val="24"/>
          <w:szCs w:val="24"/>
        </w:rPr>
      </w:pPr>
      <w:r>
        <w:rPr>
          <w:rFonts w:cs="Calibri" w:cstheme="minorHAnsi"/>
          <w:sz w:val="24"/>
          <w:szCs w:val="24"/>
        </w:rPr>
        <w:t>Το π.δ. 134/2017 «Οργανισμός Υπουργείου Εργασίας, Κοινωνικής Ασφάλισης και Κοινωνικής Αλληλεγγύης» (Α΄ 168), όπως ισχύει.</w:t>
      </w:r>
    </w:p>
    <w:p>
      <w:pPr>
        <w:pStyle w:val="ListParagraph"/>
        <w:numPr>
          <w:ilvl w:val="0"/>
          <w:numId w:val="1"/>
        </w:numPr>
        <w:spacing w:before="0" w:after="0"/>
        <w:contextualSpacing/>
        <w:jc w:val="both"/>
        <w:rPr>
          <w:rFonts w:ascii="Calibri" w:hAnsi="Calibri" w:cs="Calibri" w:asciiTheme="minorHAnsi" w:cstheme="minorHAnsi" w:hAnsiTheme="minorHAnsi"/>
          <w:sz w:val="24"/>
          <w:szCs w:val="24"/>
        </w:rPr>
      </w:pPr>
      <w:r>
        <w:rPr>
          <w:rFonts w:cs="Calibri" w:cstheme="minorHAnsi"/>
          <w:sz w:val="24"/>
          <w:szCs w:val="24"/>
        </w:rPr>
        <w:t>Το π.δ. 142/2017 «Οργανισμός Υπουργείου Οικονομικών» (Α΄ 181), όπως ισχύει.</w:t>
      </w:r>
    </w:p>
    <w:p>
      <w:pPr>
        <w:pStyle w:val="ListParagraph"/>
        <w:numPr>
          <w:ilvl w:val="0"/>
          <w:numId w:val="1"/>
        </w:numPr>
        <w:spacing w:before="0" w:after="0"/>
        <w:contextualSpacing/>
        <w:jc w:val="both"/>
        <w:rPr>
          <w:rFonts w:ascii="Calibri" w:hAnsi="Calibri" w:cs="Calibri" w:asciiTheme="minorHAnsi" w:cstheme="minorHAnsi" w:hAnsiTheme="minorHAnsi"/>
          <w:sz w:val="24"/>
          <w:szCs w:val="24"/>
        </w:rPr>
      </w:pPr>
      <w:r>
        <w:rPr>
          <w:rFonts w:cs="Calibri" w:cstheme="minorHAnsi"/>
          <w:sz w:val="24"/>
          <w:szCs w:val="24"/>
        </w:rPr>
        <w:t xml:space="preserve">Το π.δ. 81/2019 «Σύσταση, συγχώνευση, μετονομασία και κατάργηση Υπουργείων και καθορισμός των αρμοδιοτήτων τους - Μεταφορά υπηρεσιών και αρμοδιοτήτων μεταξύ Υπουργείων» (Α΄ 119). </w:t>
      </w:r>
    </w:p>
    <w:p>
      <w:pPr>
        <w:pStyle w:val="ListParagraph"/>
        <w:numPr>
          <w:ilvl w:val="0"/>
          <w:numId w:val="1"/>
        </w:numPr>
        <w:spacing w:before="0" w:after="0"/>
        <w:contextualSpacing/>
        <w:jc w:val="both"/>
        <w:rPr>
          <w:rFonts w:ascii="Calibri" w:hAnsi="Calibri" w:cs="Calibri" w:asciiTheme="minorHAnsi" w:cstheme="minorHAnsi" w:hAnsiTheme="minorHAnsi"/>
          <w:sz w:val="24"/>
          <w:szCs w:val="24"/>
        </w:rPr>
      </w:pPr>
      <w:r>
        <w:rPr>
          <w:rFonts w:cs="Calibri" w:cstheme="minorHAnsi"/>
          <w:sz w:val="24"/>
          <w:szCs w:val="24"/>
        </w:rPr>
        <w:t xml:space="preserve"> </w:t>
      </w:r>
      <w:r>
        <w:rPr>
          <w:rFonts w:cs="Calibri" w:cstheme="minorHAnsi"/>
          <w:sz w:val="24"/>
          <w:szCs w:val="24"/>
        </w:rPr>
        <w:t>Το π.δ. 83/2019 «Διορισμός Αντιπροέδρου της Κυβέρνησης, Υπουργών, Αναπληρωτών Υπουργών και Υφυπουργών» (Α΄ 121).</w:t>
      </w:r>
    </w:p>
    <w:p>
      <w:pPr>
        <w:pStyle w:val="ListParagraph"/>
        <w:numPr>
          <w:ilvl w:val="0"/>
          <w:numId w:val="1"/>
        </w:numPr>
        <w:spacing w:before="0" w:after="0"/>
        <w:contextualSpacing/>
        <w:jc w:val="both"/>
        <w:rPr>
          <w:rFonts w:ascii="Calibri" w:hAnsi="Calibri" w:cs="Calibri" w:asciiTheme="minorHAnsi" w:cstheme="minorHAnsi" w:hAnsiTheme="minorHAnsi"/>
          <w:sz w:val="24"/>
          <w:szCs w:val="24"/>
        </w:rPr>
      </w:pPr>
      <w:r>
        <w:rPr>
          <w:rFonts w:cs="Calibri" w:cstheme="minorHAnsi"/>
          <w:sz w:val="24"/>
          <w:szCs w:val="24"/>
        </w:rPr>
        <w:t xml:space="preserve">Το π.δ. 84/2019 «Σύσταση και κατάργηση Γενικών Γραμματειών και Ειδικών Γραμματειών / Ενιαίων Διοικητικών Τομέων Υπουργείων» (Α΄ 123). </w:t>
      </w:r>
    </w:p>
    <w:p>
      <w:pPr>
        <w:pStyle w:val="ListParagraph"/>
        <w:numPr>
          <w:ilvl w:val="0"/>
          <w:numId w:val="1"/>
        </w:numPr>
        <w:spacing w:before="0" w:after="0"/>
        <w:contextualSpacing/>
        <w:jc w:val="both"/>
        <w:rPr>
          <w:rFonts w:ascii="Calibri" w:hAnsi="Calibri" w:cs="Calibri" w:asciiTheme="minorHAnsi" w:cstheme="minorHAnsi" w:hAnsiTheme="minorHAnsi"/>
          <w:sz w:val="24"/>
          <w:szCs w:val="24"/>
        </w:rPr>
      </w:pPr>
      <w:r>
        <w:rPr>
          <w:rFonts w:cs="Calibri" w:cstheme="minorHAnsi"/>
          <w:sz w:val="24"/>
          <w:szCs w:val="24"/>
        </w:rPr>
        <w:t>Το π.δ. 62/2020 «Διορισμός αναπληρωτών Υπουργών και Υφυπουργών» (Α’ 155).</w:t>
      </w:r>
    </w:p>
    <w:p>
      <w:pPr>
        <w:pStyle w:val="ListParagraph"/>
        <w:numPr>
          <w:ilvl w:val="0"/>
          <w:numId w:val="1"/>
        </w:numPr>
        <w:spacing w:before="0" w:after="0"/>
        <w:contextualSpacing/>
        <w:jc w:val="both"/>
        <w:rPr>
          <w:rFonts w:ascii="Calibri" w:hAnsi="Calibri" w:cs="Calibri" w:asciiTheme="minorHAnsi" w:cstheme="minorHAnsi" w:hAnsiTheme="minorHAnsi"/>
          <w:sz w:val="24"/>
          <w:szCs w:val="24"/>
        </w:rPr>
      </w:pPr>
      <w:r>
        <w:rPr>
          <w:rFonts w:cs="Calibri" w:cstheme="minorHAnsi"/>
          <w:sz w:val="24"/>
          <w:szCs w:val="24"/>
        </w:rPr>
        <w:t xml:space="preserve">Την υπό στοιχεία  Υ70/30-10-2020 απόφαση Πρωθυπουργού «Ανάθεση αρμοδιοτήτων στον Αναπληρωτή Υπουργό Οικονομικών, Θεόδωρο Σκυλακάκη» (Β΄ 4805). </w:t>
      </w:r>
    </w:p>
    <w:p>
      <w:pPr>
        <w:pStyle w:val="ListParagraph"/>
        <w:numPr>
          <w:ilvl w:val="0"/>
          <w:numId w:val="1"/>
        </w:numPr>
        <w:spacing w:before="0" w:after="0"/>
        <w:contextualSpacing/>
        <w:jc w:val="both"/>
        <w:rPr>
          <w:rFonts w:ascii="Calibri" w:hAnsi="Calibri" w:cs="Calibri" w:asciiTheme="minorHAnsi" w:cstheme="minorHAnsi" w:hAnsiTheme="minorHAnsi"/>
          <w:sz w:val="24"/>
          <w:szCs w:val="24"/>
        </w:rPr>
      </w:pPr>
      <w:r>
        <w:rPr>
          <w:rFonts w:cs="Calibri" w:cstheme="minorHAnsi"/>
          <w:sz w:val="24"/>
          <w:szCs w:val="24"/>
        </w:rPr>
        <w:t xml:space="preserve">Την υπό στοιχεία  40331/Δ1.13521/13.9.2019 απόφαση του Υπουργού Εργασίας και Κοινωνικών Υποθέσεων «Επανακαθορισμός όρων ηλεκτρονικής υποβολής εντύπων αρμοδιότητας ΣΕΠΕ και ΟΑΕΔ» (Β΄ 3520), όπως τροποποιήθηκε και ισχύει. </w:t>
      </w:r>
    </w:p>
    <w:p>
      <w:pPr>
        <w:pStyle w:val="ListParagraph"/>
        <w:numPr>
          <w:ilvl w:val="0"/>
          <w:numId w:val="1"/>
        </w:numPr>
        <w:spacing w:before="0" w:after="0"/>
        <w:contextualSpacing/>
        <w:jc w:val="both"/>
        <w:rPr>
          <w:rFonts w:ascii="Calibri" w:hAnsi="Calibri" w:cs="Calibri" w:asciiTheme="minorHAnsi" w:cstheme="minorHAnsi" w:hAnsiTheme="minorHAnsi"/>
          <w:sz w:val="24"/>
          <w:szCs w:val="24"/>
        </w:rPr>
      </w:pPr>
      <w:r>
        <w:rPr>
          <w:rFonts w:cs="Calibri" w:cstheme="minorHAnsi"/>
          <w:sz w:val="24"/>
          <w:szCs w:val="24"/>
        </w:rPr>
        <w:t xml:space="preserve">Την </w:t>
      </w:r>
      <w:r>
        <w:rPr>
          <w:rFonts w:cs="MyriadPro-Regular" w:ascii="MyriadPro-Regular" w:hAnsi="MyriadPro-Regular"/>
          <w:sz w:val="20"/>
          <w:szCs w:val="20"/>
        </w:rPr>
        <w:t>υπ’ αρ.</w:t>
      </w:r>
      <w:r>
        <w:rPr>
          <w:rFonts w:cs="Calibri" w:cstheme="minorHAnsi"/>
          <w:sz w:val="24"/>
          <w:szCs w:val="24"/>
        </w:rPr>
        <w:t xml:space="preserve"> οικ. 12997/231/23.3.2020 απόφαση του Υπουργού Εργασίας και Κοινωνικών Υποθέσεων «Μηχανισμός εφαρμογής των μέτρων στήριξης των εργαζομένων με εξαρτημένη εργασία για την αντιμετώπιση των επιπτώσεων του κορωνοϊού COVID-19» (Β΄ 993), όπως ισχύει. </w:t>
      </w:r>
    </w:p>
    <w:p>
      <w:pPr>
        <w:pStyle w:val="ListParagraph"/>
        <w:numPr>
          <w:ilvl w:val="0"/>
          <w:numId w:val="1"/>
        </w:numPr>
        <w:spacing w:before="0" w:after="0"/>
        <w:contextualSpacing/>
        <w:jc w:val="both"/>
        <w:rPr>
          <w:rFonts w:ascii="Calibri" w:hAnsi="Calibri" w:cs="Calibri" w:asciiTheme="minorHAnsi" w:cstheme="minorHAnsi" w:hAnsiTheme="minorHAnsi"/>
          <w:sz w:val="24"/>
          <w:szCs w:val="24"/>
        </w:rPr>
      </w:pPr>
      <w:r>
        <w:rPr>
          <w:rFonts w:cs="Calibri" w:cstheme="minorHAnsi"/>
          <w:sz w:val="24"/>
          <w:szCs w:val="24"/>
        </w:rPr>
        <w:t xml:space="preserve">Την </w:t>
      </w:r>
      <w:r>
        <w:rPr>
          <w:rFonts w:cs="MyriadPro-Regular" w:ascii="MyriadPro-Regular" w:hAnsi="MyriadPro-Regular"/>
          <w:sz w:val="20"/>
          <w:szCs w:val="20"/>
        </w:rPr>
        <w:t xml:space="preserve">υπ’ αρ. </w:t>
      </w:r>
      <w:r>
        <w:rPr>
          <w:rFonts w:cs="Calibri" w:cstheme="minorHAnsi"/>
          <w:sz w:val="24"/>
          <w:szCs w:val="24"/>
        </w:rPr>
        <w:t xml:space="preserve">οικ. 48713/1232/26.11.2020 κοινή υπουργική απόφαση «Αναστολή συμβάσεων εργασίας εργαζομένων σε επιχειρήσεις - εργοδότες του ιδιωτικού τομέα κατά τον μήνα Νοέμβριο» (Β’ 5246). </w:t>
      </w:r>
    </w:p>
    <w:p>
      <w:pPr>
        <w:pStyle w:val="ListParagraph"/>
        <w:numPr>
          <w:ilvl w:val="0"/>
          <w:numId w:val="1"/>
        </w:numPr>
        <w:spacing w:before="0" w:after="0"/>
        <w:contextualSpacing/>
        <w:jc w:val="both"/>
        <w:rPr>
          <w:rFonts w:ascii="Calibri" w:hAnsi="Calibri" w:cs="Calibri" w:asciiTheme="minorHAnsi" w:cstheme="minorHAnsi" w:hAnsiTheme="minorHAnsi"/>
          <w:sz w:val="24"/>
          <w:szCs w:val="24"/>
        </w:rPr>
      </w:pPr>
      <w:r>
        <w:rPr>
          <w:rFonts w:cs="Calibri" w:cstheme="minorHAnsi"/>
          <w:sz w:val="24"/>
          <w:szCs w:val="24"/>
        </w:rPr>
        <w:t>Την υπό στοιχεία Δ1α/ΓΠ.οικ.71342/6.11.2020 κοινή υπουργική απόφαση «Έκτακτα μέτρα προστασίας της δημόσιας υγείας από τον κίνδυνο περαιτέρω διασποράς του κορωνοϊού COVID-19 στο σύνολο της Επικράτειας για το διάστημα από το Σάββατο 7 Νοεμβρίου 2020 έως και τη Δευτέρα 30 Νοεμβρίου 2020» (Β’ 4899), όπως τροποποιήθηκε με τις υπό στοιχεία Δ1α/ΓΠ.οικ.71608/9.11.2020 (Β’ 4946), Δ1α/ΓΠ.οικ.72687/12.11.2020 (Β’ 4999), Δ1α/ ΓΠ.οικ.72989/14.11.2020 (Β’ 5043) και Δ1α/ΓΠ.οικ.73325/ 16.11.2020 (Β’ 5060) κοινές υπουργικές αποφάσεις.</w:t>
      </w:r>
    </w:p>
    <w:p>
      <w:pPr>
        <w:pStyle w:val="ListParagraph"/>
        <w:numPr>
          <w:ilvl w:val="0"/>
          <w:numId w:val="1"/>
        </w:numPr>
        <w:spacing w:before="0" w:after="0"/>
        <w:contextualSpacing/>
        <w:jc w:val="both"/>
        <w:rPr>
          <w:rFonts w:ascii="Calibri" w:hAnsi="Calibri" w:cs="Calibri" w:asciiTheme="minorHAnsi" w:cstheme="minorHAnsi" w:hAnsiTheme="minorHAnsi"/>
          <w:sz w:val="24"/>
          <w:szCs w:val="24"/>
        </w:rPr>
      </w:pPr>
      <w:r>
        <w:rPr>
          <w:rFonts w:cs="Calibri" w:cstheme="minorHAnsi"/>
          <w:sz w:val="24"/>
          <w:szCs w:val="24"/>
        </w:rPr>
        <w:t>Την υπό στοιχεία Δ1α/ΓΠ.οικ. 76629/27.11.2020 κοινή υπουργική απόφαση «Έκτακτα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30 Νοεμβρίου 2020 έως και τη Δευτέρα 7 Δεκεμβρίου 2020» (Β’ 5255).</w:t>
      </w:r>
    </w:p>
    <w:p>
      <w:pPr>
        <w:pStyle w:val="ListParagraph"/>
        <w:numPr>
          <w:ilvl w:val="0"/>
          <w:numId w:val="1"/>
        </w:numPr>
        <w:spacing w:before="0" w:after="0"/>
        <w:contextualSpacing/>
        <w:jc w:val="both"/>
        <w:rPr>
          <w:rFonts w:ascii="Calibri" w:hAnsi="Calibri" w:cs="Calibri" w:asciiTheme="minorHAnsi" w:cstheme="minorHAnsi" w:hAnsiTheme="minorHAnsi"/>
          <w:bCs/>
          <w:sz w:val="24"/>
          <w:szCs w:val="24"/>
        </w:rPr>
      </w:pPr>
      <w:r>
        <w:rPr>
          <w:rFonts w:cs="Calibri" w:cstheme="minorHAnsi"/>
          <w:sz w:val="24"/>
          <w:szCs w:val="24"/>
        </w:rPr>
        <w:t>Την υπ’ αρ. οικ. 45664/2434/2.12.2020 (Ορθή Επανακοινοποίηση) εισήγηση της Γενικής Δ/νσης Οικονομικών Υπηρεσιών του Υπουργείου Εργασίας και Κοινωνικών Υποθέσεω</w:t>
      </w:r>
      <w:r>
        <w:rPr>
          <w:rFonts w:cs="Calibri" w:cstheme="minorHAnsi"/>
          <w:bCs/>
          <w:sz w:val="24"/>
          <w:szCs w:val="24"/>
        </w:rPr>
        <w:t>ν</w:t>
      </w:r>
      <w:r>
        <w:rPr>
          <w:rFonts w:cs="Calibri" w:cstheme="minorHAnsi"/>
          <w:sz w:val="24"/>
          <w:szCs w:val="24"/>
        </w:rPr>
        <w:t>.</w:t>
      </w:r>
      <w:r>
        <w:rPr>
          <w:rFonts w:ascii="Verdana" w:hAnsi="Verdana"/>
        </w:rPr>
        <w:t xml:space="preserve"> </w:t>
      </w:r>
    </w:p>
    <w:p>
      <w:pPr>
        <w:pStyle w:val="ListParagraph"/>
        <w:numPr>
          <w:ilvl w:val="0"/>
          <w:numId w:val="1"/>
        </w:numPr>
        <w:spacing w:before="0" w:after="0"/>
        <w:contextualSpacing/>
        <w:jc w:val="both"/>
        <w:rPr>
          <w:rFonts w:ascii="Calibri" w:hAnsi="Calibri" w:cs="Calibri" w:asciiTheme="minorHAnsi" w:cstheme="minorHAnsi" w:hAnsiTheme="minorHAnsi"/>
          <w:sz w:val="24"/>
          <w:szCs w:val="24"/>
        </w:rPr>
      </w:pPr>
      <w:r>
        <w:rPr>
          <w:rFonts w:cs="Calibri" w:cstheme="minorHAnsi"/>
          <w:sz w:val="24"/>
          <w:szCs w:val="24"/>
        </w:rPr>
        <w:t>Την επιτακτική ανάγκη παράτασης των μέτρων στήριξης εργαζομένων σε επιχειρήσεις - εργοδότες του ιδιωτικού τομέα κατά τον μήνα Δεκέμβριο  2020,   ένεκα της απαγόρευσης λειτουργίας τους με εντολή δημόσιας αρχής ή του γεγονότος ότι εξακολουθούν να πλήττονται από τις δυσμενείς συνέπειες της πανδημίας του κορωνοϊού COVID-19, λαμβανομένης υπόψη της τρέχουσας επιδημιολογικής επιβάρυνσης της Χώρας και της υποχρέωσης τήρησης των έκτακτων προληπτικών μέτρων προστασίας.</w:t>
      </w:r>
    </w:p>
    <w:p>
      <w:pPr>
        <w:pStyle w:val="ListParagraph"/>
        <w:numPr>
          <w:ilvl w:val="0"/>
          <w:numId w:val="1"/>
        </w:numPr>
        <w:spacing w:before="0" w:after="0"/>
        <w:ind w:left="426" w:hanging="360"/>
        <w:contextualSpacing/>
        <w:jc w:val="both"/>
        <w:rPr>
          <w:rFonts w:ascii="Calibri" w:hAnsi="Calibri" w:cs="Calibri" w:asciiTheme="minorHAnsi" w:cstheme="minorHAnsi" w:hAnsiTheme="minorHAnsi"/>
          <w:sz w:val="24"/>
          <w:szCs w:val="24"/>
        </w:rPr>
      </w:pPr>
      <w:r>
        <w:rPr>
          <w:rFonts w:cs="Calibri" w:cstheme="minorHAnsi"/>
          <w:sz w:val="24"/>
          <w:szCs w:val="24"/>
        </w:rPr>
        <w:t>Το γεγονός ότι από τις διατάξεις της παρούσας προκαλείται δαπάνη για κάθε εβδομάδα αναστολών συμβάσεων εργασίας εργαζομένων, για τον μήνα Δεκέμβριο, η οποία  ανέρχεται έως το ποσό των εκατόν τριών εκατομμυρίων επτακοσίων δέκα χιλιάδων ευρώ (103.710.000,00 €) και βαρύνει τον  τακτικό προϋπολογισμό του Υπουργείου Εργασίας και Κοινωνικών Υποθέσεων, οικονομικού έτους 2020,  στον ΕΦ 1033-5010000000,  ΑΛΕ 2310989899.</w:t>
      </w:r>
    </w:p>
    <w:p>
      <w:pPr>
        <w:pStyle w:val="ListParagraph"/>
        <w:spacing w:before="0" w:after="0"/>
        <w:ind w:left="426" w:hanging="0"/>
        <w:contextualSpacing/>
        <w:jc w:val="both"/>
        <w:rPr>
          <w:rFonts w:ascii="Calibri" w:hAnsi="Calibri" w:cs="Calibri" w:asciiTheme="minorHAnsi" w:cstheme="minorHAnsi" w:hAnsiTheme="minorHAnsi"/>
          <w:sz w:val="24"/>
          <w:szCs w:val="24"/>
        </w:rPr>
      </w:pPr>
      <w:r>
        <w:rPr>
          <w:rFonts w:cs="Calibri" w:cstheme="minorHAnsi"/>
          <w:sz w:val="24"/>
          <w:szCs w:val="24"/>
        </w:rPr>
      </w:r>
    </w:p>
    <w:p>
      <w:pPr>
        <w:pStyle w:val="Normal"/>
        <w:spacing w:before="0" w:after="0"/>
        <w:jc w:val="both"/>
        <w:rPr>
          <w:rFonts w:ascii="Calibri" w:hAnsi="Calibri" w:cs="Calibri" w:asciiTheme="minorHAnsi" w:cstheme="minorHAnsi" w:hAnsiTheme="minorHAnsi"/>
          <w:sz w:val="24"/>
          <w:szCs w:val="24"/>
        </w:rPr>
      </w:pPr>
      <w:r>
        <w:rPr>
          <w:rFonts w:cs="Calibri" w:cstheme="minorHAnsi"/>
          <w:sz w:val="24"/>
          <w:szCs w:val="24"/>
        </w:rPr>
      </w:r>
    </w:p>
    <w:p>
      <w:pPr>
        <w:pStyle w:val="ListParagraph"/>
        <w:tabs>
          <w:tab w:val="clear" w:pos="720"/>
          <w:tab w:val="left" w:pos="426" w:leader="none"/>
        </w:tabs>
        <w:spacing w:before="0" w:after="0"/>
        <w:ind w:left="426" w:hanging="0"/>
        <w:contextualSpacing/>
        <w:jc w:val="center"/>
        <w:rPr>
          <w:rFonts w:ascii="Calibri" w:hAnsi="Calibri" w:cs="Calibri" w:asciiTheme="minorHAnsi" w:cstheme="minorHAnsi" w:hAnsiTheme="minorHAnsi"/>
          <w:sz w:val="24"/>
          <w:szCs w:val="24"/>
        </w:rPr>
      </w:pPr>
      <w:r>
        <w:rPr>
          <w:rFonts w:cs="Calibri" w:cstheme="minorHAnsi"/>
          <w:sz w:val="24"/>
          <w:szCs w:val="24"/>
        </w:rPr>
        <w:t>αποφασίζουμε:</w:t>
      </w:r>
    </w:p>
    <w:p>
      <w:pPr>
        <w:pStyle w:val="ListParagraph"/>
        <w:spacing w:before="0" w:after="0"/>
        <w:ind w:left="360" w:hanging="0"/>
        <w:contextualSpacing/>
        <w:rPr>
          <w:rFonts w:ascii="Calibri" w:hAnsi="Calibri" w:cs="Calibri" w:asciiTheme="minorHAnsi" w:cstheme="minorHAnsi" w:hAnsiTheme="minorHAnsi"/>
          <w:sz w:val="24"/>
          <w:szCs w:val="24"/>
        </w:rPr>
      </w:pPr>
      <w:r>
        <w:rPr>
          <w:rFonts w:cs="Calibri" w:cstheme="minorHAnsi"/>
          <w:sz w:val="24"/>
          <w:szCs w:val="24"/>
        </w:rPr>
        <w:t xml:space="preserve">    </w:t>
      </w:r>
    </w:p>
    <w:p>
      <w:pPr>
        <w:pStyle w:val="ListParagraph"/>
        <w:tabs>
          <w:tab w:val="clear" w:pos="720"/>
          <w:tab w:val="left" w:pos="284" w:leader="none"/>
        </w:tabs>
        <w:spacing w:before="0" w:after="0"/>
        <w:ind w:left="0" w:hanging="0"/>
        <w:contextualSpacing/>
        <w:jc w:val="both"/>
        <w:rPr>
          <w:rFonts w:ascii="Calibri" w:hAnsi="Calibri" w:cs="Calibri" w:asciiTheme="minorHAnsi" w:cstheme="minorHAnsi" w:hAnsiTheme="minorHAnsi"/>
          <w:sz w:val="24"/>
          <w:szCs w:val="24"/>
        </w:rPr>
      </w:pPr>
      <w:r>
        <w:rPr>
          <w:rFonts w:cs="Calibri" w:cstheme="minorHAnsi"/>
          <w:sz w:val="24"/>
          <w:szCs w:val="24"/>
        </w:rPr>
        <w:t>την εφαρμογή του μέτρου της αναστολής συμβάσεων εργασίας εργαζομένων για τον μήνα Δεκέμβριο 2020, ως εξής:</w:t>
      </w:r>
    </w:p>
    <w:p>
      <w:pPr>
        <w:pStyle w:val="Normal"/>
        <w:ind w:left="426" w:hanging="0"/>
        <w:jc w:val="center"/>
        <w:rPr>
          <w:rFonts w:ascii="Calibri" w:hAnsi="Calibri" w:cs="Calibri" w:asciiTheme="minorHAnsi" w:cstheme="minorHAnsi" w:hAnsiTheme="minorHAnsi"/>
          <w:b/>
          <w:b/>
          <w:sz w:val="24"/>
          <w:szCs w:val="24"/>
        </w:rPr>
      </w:pPr>
      <w:r>
        <w:rPr>
          <w:rFonts w:cs="Calibri" w:cstheme="minorHAnsi"/>
          <w:b/>
          <w:sz w:val="24"/>
          <w:szCs w:val="24"/>
        </w:rPr>
      </w:r>
    </w:p>
    <w:p>
      <w:pPr>
        <w:pStyle w:val="Normal"/>
        <w:ind w:left="426" w:hanging="0"/>
        <w:jc w:val="center"/>
        <w:rPr>
          <w:rFonts w:ascii="Calibri" w:hAnsi="Calibri" w:cs="Calibri" w:asciiTheme="minorHAnsi" w:cstheme="minorHAnsi" w:hAnsiTheme="minorHAnsi"/>
          <w:b/>
          <w:b/>
          <w:sz w:val="24"/>
          <w:szCs w:val="24"/>
        </w:rPr>
      </w:pPr>
      <w:r>
        <w:rPr>
          <w:rFonts w:cs="Calibri" w:cstheme="minorHAnsi"/>
          <w:b/>
          <w:sz w:val="24"/>
          <w:szCs w:val="24"/>
        </w:rPr>
      </w:r>
    </w:p>
    <w:p>
      <w:pPr>
        <w:pStyle w:val="Normal"/>
        <w:ind w:left="426" w:hanging="0"/>
        <w:jc w:val="center"/>
        <w:rPr>
          <w:rFonts w:ascii="Calibri" w:hAnsi="Calibri" w:cs="Calibri" w:asciiTheme="minorHAnsi" w:cstheme="minorHAnsi" w:hAnsiTheme="minorHAnsi"/>
          <w:b/>
          <w:b/>
          <w:sz w:val="24"/>
          <w:szCs w:val="24"/>
        </w:rPr>
      </w:pPr>
      <w:r>
        <w:rPr>
          <w:rFonts w:cs="Calibri" w:cstheme="minorHAnsi"/>
          <w:b/>
          <w:sz w:val="24"/>
          <w:szCs w:val="24"/>
        </w:rPr>
      </w:r>
    </w:p>
    <w:p>
      <w:pPr>
        <w:pStyle w:val="Normal"/>
        <w:ind w:left="426" w:hanging="0"/>
        <w:jc w:val="center"/>
        <w:rPr>
          <w:rFonts w:ascii="Calibri" w:hAnsi="Calibri" w:cs="Calibri" w:asciiTheme="minorHAnsi" w:cstheme="minorHAnsi" w:hAnsiTheme="minorHAnsi"/>
          <w:b/>
          <w:b/>
          <w:sz w:val="24"/>
          <w:szCs w:val="24"/>
        </w:rPr>
      </w:pPr>
      <w:r>
        <w:rPr>
          <w:rFonts w:cs="Calibri" w:cstheme="minorHAnsi"/>
          <w:b/>
          <w:sz w:val="24"/>
          <w:szCs w:val="24"/>
        </w:rPr>
      </w:r>
    </w:p>
    <w:p>
      <w:pPr>
        <w:pStyle w:val="Normal"/>
        <w:ind w:left="426" w:hanging="0"/>
        <w:jc w:val="center"/>
        <w:rPr>
          <w:rFonts w:ascii="Calibri" w:hAnsi="Calibri" w:cs="Calibri" w:asciiTheme="minorHAnsi" w:cstheme="minorHAnsi" w:hAnsiTheme="minorHAnsi"/>
          <w:b/>
          <w:b/>
          <w:sz w:val="24"/>
          <w:szCs w:val="24"/>
        </w:rPr>
      </w:pPr>
      <w:r>
        <w:rPr>
          <w:rFonts w:cs="Calibri" w:cstheme="minorHAnsi"/>
          <w:b/>
          <w:sz w:val="24"/>
          <w:szCs w:val="24"/>
        </w:rPr>
        <w:t>ΚΕΦΑΛΑΙΟ Α</w:t>
      </w:r>
    </w:p>
    <w:p>
      <w:pPr>
        <w:pStyle w:val="Normal"/>
        <w:spacing w:before="0" w:after="0"/>
        <w:jc w:val="both"/>
        <w:rPr>
          <w:rFonts w:ascii="Calibri" w:hAnsi="Calibri" w:cs="Calibri" w:asciiTheme="minorHAnsi" w:cstheme="minorHAnsi" w:hAnsiTheme="minorHAnsi"/>
          <w:sz w:val="24"/>
          <w:szCs w:val="24"/>
        </w:rPr>
      </w:pPr>
      <w:r>
        <w:rPr>
          <w:rFonts w:cs="Calibri" w:cstheme="minorHAnsi"/>
          <w:b/>
          <w:sz w:val="24"/>
          <w:szCs w:val="24"/>
        </w:rPr>
        <w:t>Αναστολή συμβάσεων εργασίας</w:t>
      </w:r>
      <w:r>
        <w:rPr>
          <w:rFonts w:cs="Calibri" w:cstheme="minorHAnsi"/>
          <w:sz w:val="24"/>
          <w:szCs w:val="24"/>
        </w:rPr>
        <w:t xml:space="preserve"> </w:t>
      </w:r>
      <w:r>
        <w:rPr>
          <w:rFonts w:cs="Calibri" w:cstheme="minorHAnsi"/>
          <w:b/>
          <w:sz w:val="24"/>
          <w:szCs w:val="24"/>
        </w:rPr>
        <w:t>εργαζομένων σε επιχειρήσεις-εργοδότες του ιδιωτικού τομέα, των οποίων αναστέλλεται η λειτουργία με εντολή δημόσιας αρχής για τον μήνα Δεκέμβριο 2020</w:t>
      </w:r>
      <w:r>
        <w:rPr>
          <w:rFonts w:cs="Calibri" w:cstheme="minorHAnsi"/>
          <w:sz w:val="24"/>
          <w:szCs w:val="24"/>
        </w:rPr>
        <w:t xml:space="preserve"> </w:t>
      </w:r>
    </w:p>
    <w:p>
      <w:pPr>
        <w:pStyle w:val="Normal"/>
        <w:spacing w:before="0" w:after="0"/>
        <w:jc w:val="both"/>
        <w:rPr>
          <w:rFonts w:ascii="Calibri" w:hAnsi="Calibri" w:cs="Calibri" w:asciiTheme="minorHAnsi" w:cstheme="minorHAnsi" w:hAnsiTheme="minorHAnsi"/>
          <w:b/>
          <w:b/>
          <w:sz w:val="24"/>
          <w:szCs w:val="24"/>
        </w:rPr>
      </w:pPr>
      <w:r>
        <w:rPr>
          <w:rFonts w:cs="Calibri" w:cstheme="minorHAnsi"/>
          <w:b/>
          <w:sz w:val="24"/>
          <w:szCs w:val="24"/>
        </w:rPr>
      </w:r>
    </w:p>
    <w:p>
      <w:pPr>
        <w:pStyle w:val="Normal"/>
        <w:spacing w:before="0" w:after="0"/>
        <w:jc w:val="center"/>
        <w:rPr>
          <w:rFonts w:ascii="Calibri" w:hAnsi="Calibri" w:cs="Calibri" w:asciiTheme="minorHAnsi" w:cstheme="minorHAnsi" w:hAnsiTheme="minorHAnsi"/>
          <w:b/>
          <w:b/>
          <w:sz w:val="24"/>
          <w:szCs w:val="24"/>
        </w:rPr>
      </w:pPr>
      <w:r>
        <w:rPr>
          <w:rFonts w:cs="Calibri" w:cstheme="minorHAnsi"/>
          <w:b/>
          <w:sz w:val="24"/>
          <w:szCs w:val="24"/>
        </w:rPr>
        <w:t>Άρθρο 1</w:t>
      </w:r>
    </w:p>
    <w:p>
      <w:pPr>
        <w:pStyle w:val="Normal"/>
        <w:spacing w:before="0" w:after="0"/>
        <w:jc w:val="center"/>
        <w:rPr>
          <w:rFonts w:ascii="Calibri" w:hAnsi="Calibri" w:cs="Calibri" w:asciiTheme="minorHAnsi" w:cstheme="minorHAnsi" w:hAnsiTheme="minorHAnsi"/>
          <w:b/>
          <w:b/>
          <w:sz w:val="24"/>
          <w:szCs w:val="24"/>
        </w:rPr>
      </w:pPr>
      <w:r>
        <w:rPr>
          <w:rFonts w:cs="Calibri" w:cstheme="minorHAnsi"/>
          <w:b/>
          <w:sz w:val="24"/>
          <w:szCs w:val="24"/>
        </w:rPr>
        <w:t>Επιχειρήσεις – Εργοδότες που υποχρεωτικά θέτουν σε αναστολή τις συμβάσεις εργασίας των εργαζομένων τους</w:t>
      </w:r>
    </w:p>
    <w:p>
      <w:pPr>
        <w:pStyle w:val="ListParagraph"/>
        <w:spacing w:beforeAutospacing="1" w:after="0"/>
        <w:ind w:left="0" w:hanging="0"/>
        <w:contextualSpacing/>
        <w:jc w:val="both"/>
        <w:rPr>
          <w:rFonts w:ascii="Calibri" w:hAnsi="Calibri" w:cs="Calibri" w:asciiTheme="minorHAnsi" w:cstheme="minorHAnsi" w:hAnsiTheme="minorHAnsi"/>
          <w:sz w:val="24"/>
          <w:szCs w:val="24"/>
        </w:rPr>
      </w:pPr>
      <w:r>
        <w:rPr>
          <w:rFonts w:cs="Calibri" w:cstheme="minorHAnsi"/>
          <w:bCs/>
          <w:sz w:val="24"/>
          <w:szCs w:val="24"/>
        </w:rPr>
        <w:t>1.</w:t>
      </w:r>
      <w:r>
        <w:rPr>
          <w:rFonts w:cs="Calibri" w:cstheme="minorHAnsi"/>
          <w:sz w:val="24"/>
          <w:szCs w:val="24"/>
        </w:rPr>
        <w:t xml:space="preserve"> Οι επιχειρήσεις – εργοδότες του ιδιωτικού τομέα σε όλη την Επικράτεια, των οποίων αναστέλλεται η λειτουργία της έδρας ή των υποκαταστημάτων τους, με εντολή δημόσιας αρχής, βάσει Κωδικού Αριθμού Δραστηριότητας (ΚΑΔ), που ορίζονται από το Υπουργείο Οικονομικών, σύμφωνα με τα σχετικά παραρτήματα της παρούσας, για όσο χρονικό διάστημα διαρκεί η εντολή αυτή, θέτουν υποχρεωτικά σε αναστολή τις συμβάσεις εργασίας των εργαζομένων τους, οι οποίοι έχουν προσληφθεί έως και την 4η Νοεμβρίου 2020 ή παρατείνουν υποχρεωτικά την αναστολή συμβάσεων των εργαζομένων τους, που έχουν ήδη τεθεί σε αναστολή, για τον μήνα Δεκέμβριο.</w:t>
      </w:r>
    </w:p>
    <w:p>
      <w:pPr>
        <w:pStyle w:val="Default"/>
        <w:spacing w:lineRule="auto" w:line="276"/>
        <w:jc w:val="both"/>
        <w:rPr>
          <w:rFonts w:ascii="Calibri" w:hAnsi="Calibri" w:cs="Calibri" w:asciiTheme="minorHAnsi" w:cstheme="minorHAnsi" w:hAnsiTheme="minorHAnsi"/>
          <w:color w:val="auto"/>
        </w:rPr>
      </w:pPr>
      <w:r>
        <w:rPr>
          <w:rFonts w:cs="Calibri" w:ascii="Calibri" w:hAnsi="Calibri" w:asciiTheme="minorHAnsi" w:cstheme="minorHAnsi" w:hAnsiTheme="minorHAnsi"/>
          <w:color w:val="auto"/>
        </w:rPr>
        <w:t xml:space="preserve">2.  Οι συμβάσεις εργασίας των εργαζομένων σε επιχειρήσεις – εργοδότες της παρ.  1 του παρόντος άρθρου, που έχουν υποβάλει Αίτηση-Υπεύθυνη Δήλωση α΄ φάσεως για την ένταξη εργαζομένων τους στον Μηχανισμό «ΣΥΝ-ΕΡΓΑΣΙΑ», του άρθρου 31 του ν. 4690/2020 (Α΄ 104), στο ΠΣ ΕΡΓΑΝΗ, για τον μήνα Δεκέμβριο, τίθενται υποχρεωτικά σε αναστολή </w:t>
      </w:r>
      <w:r>
        <w:rPr>
          <w:rFonts w:cs="Calibri" w:ascii="Calibri" w:hAnsi="Calibri" w:asciiTheme="minorHAnsi" w:cstheme="minorHAnsi" w:hAnsiTheme="minorHAnsi"/>
        </w:rPr>
        <w:t>για όσο χρονικό διάστημα διαρκεί η εντολή αυτή</w:t>
      </w:r>
      <w:r>
        <w:rPr>
          <w:rFonts w:cs="Calibri" w:ascii="Calibri" w:hAnsi="Calibri" w:asciiTheme="minorHAnsi" w:cstheme="minorHAnsi" w:hAnsiTheme="minorHAnsi"/>
          <w:color w:val="auto"/>
        </w:rPr>
        <w:t xml:space="preserve"> και συνεπώς οι επιχειρήσεις – εργοδότες οφείλουν προηγουμένως να προβούν σε τροποποίηση/ορθή επανάληψη της ανωτέρω Αίτησης-Υπεύθυνης Δήλωσης. </w:t>
      </w:r>
    </w:p>
    <w:p>
      <w:pPr>
        <w:pStyle w:val="Default"/>
        <w:spacing w:lineRule="auto" w:line="276"/>
        <w:jc w:val="both"/>
        <w:rPr>
          <w:rFonts w:ascii="Calibri" w:hAnsi="Calibri" w:cs="Calibri" w:asciiTheme="minorHAnsi" w:cstheme="minorHAnsi" w:hAnsiTheme="minorHAnsi"/>
        </w:rPr>
      </w:pPr>
      <w:r>
        <w:rPr>
          <w:rFonts w:cs="Calibri" w:ascii="Calibri" w:hAnsi="Calibri" w:asciiTheme="minorHAnsi" w:cstheme="minorHAnsi" w:hAnsiTheme="minorHAnsi"/>
        </w:rPr>
        <w:t>3α. Οι συμβάσεις εξαρτημένης εργασίας ορισμένου χρόνου εργαζομένων σε επιχειρήσεις - εργοδότες της παρ.1 του παρόντος άρθρου, οι οποίες  συμβάσεις λήγουν μετά την ημερομηνία αναστολής της λειτουργίας των επιχειρήσεων – εργοδοτών με εντολή δημόσιας αρχής, τίθενται υποχρεωτικά σε αναστολή. Μετά το πέρας του διαστήματος της αναστολής, οι συμβάσεις εργασίας  συνεχίζονται για τον συμφωνηθέντα χρόνο που υπολείπεται. Η υποχρέωση αυτή δεν υφίσταται όταν συντρέχει αντικειμενική αδυναμία εκπλήρωσής της, όπως σε περιπτώσεις επιχειρήσεων που από τη μορφή ή το είδος ή τη δραστηριότητά τους έχουν συγκεκριμένο χρόνο λειτουργίας.</w:t>
      </w:r>
    </w:p>
    <w:p>
      <w:pPr>
        <w:pStyle w:val="Normal"/>
        <w:spacing w:before="0" w:after="0"/>
        <w:jc w:val="both"/>
        <w:rPr>
          <w:rFonts w:ascii="Calibri" w:hAnsi="Calibri" w:cs="Calibri" w:asciiTheme="minorHAnsi" w:cstheme="minorHAnsi" w:hAnsiTheme="minorHAnsi"/>
          <w:color w:val="000000"/>
          <w:sz w:val="24"/>
          <w:szCs w:val="24"/>
        </w:rPr>
      </w:pPr>
      <w:r>
        <w:rPr>
          <w:rFonts w:cs="Calibri" w:cstheme="minorHAnsi"/>
          <w:sz w:val="24"/>
          <w:szCs w:val="24"/>
        </w:rPr>
        <w:t xml:space="preserve">β. Οι </w:t>
      </w:r>
      <w:r>
        <w:rPr>
          <w:rFonts w:cs="Calibri" w:cstheme="minorHAnsi"/>
          <w:color w:val="000000"/>
          <w:sz w:val="24"/>
          <w:szCs w:val="24"/>
        </w:rPr>
        <w:t xml:space="preserve">συμβάσεις </w:t>
      </w:r>
      <w:r>
        <w:rPr>
          <w:rFonts w:cs="Calibri" w:cstheme="minorHAnsi"/>
        </w:rPr>
        <w:t>εξαρτημένης</w:t>
      </w:r>
      <w:r>
        <w:rPr>
          <w:rFonts w:cs="Calibri" w:cstheme="minorHAnsi"/>
          <w:color w:val="000000"/>
          <w:sz w:val="24"/>
          <w:szCs w:val="24"/>
        </w:rPr>
        <w:t xml:space="preserve"> εργασίας ορισμένου χρόνου των εργαζομένων σε επιχειρήσεις – εργοδότες της παρ.1 του παρόντος άρθρου, οι οποίοι επιδοτούνται από το «Ανοικτό Πρόγραμμα 100.000 νέων επιδοτούμενων θέσεων εργασίας» του άρθρου 28 του ν. 4726/2020 (Α΄181), τίθενται υποχρεωτικά σε αναστολή, κατά παρέκκλιση της παρ. 7 του άρθρου 5 της με αριθμ. οικ. 39539/996/30.9.2020 (Β΄ 4261) κοινής υπουργικής απόφασης, και ισχύουν τα οριζόμενα στην περ. α΄ της παρούσας παραγράφου. </w:t>
      </w:r>
    </w:p>
    <w:p>
      <w:pPr>
        <w:pStyle w:val="Default"/>
        <w:spacing w:lineRule="auto" w:line="276"/>
        <w:jc w:val="both"/>
        <w:rPr>
          <w:rFonts w:ascii="Calibri" w:hAnsi="Calibri" w:cs="Calibri" w:asciiTheme="minorHAnsi" w:cstheme="minorHAnsi" w:hAnsiTheme="minorHAnsi"/>
          <w:color w:val="auto"/>
        </w:rPr>
      </w:pPr>
      <w:r>
        <w:rPr>
          <w:rFonts w:cs="Calibri" w:ascii="Calibri" w:hAnsi="Calibri" w:asciiTheme="minorHAnsi" w:cstheme="minorHAnsi" w:hAnsiTheme="minorHAnsi"/>
        </w:rPr>
        <w:t xml:space="preserve">4α. Οι επιχειρήσεις-εργοδότες της παρ.1 του παρόντος άρθρου, για τις περιπτώσεις εξαιρέσιμων δραστηριοτήτων από την απαγόρευση λειτουργίας τους, βάσει ΚΑΔ, δύνανται να θέτουν εργαζόμενους, των οποίων οι συμβάσεις εργασίας τους δεν έχουν τεθεί σε αναστολή, σε καθεστώς εξ αποστάσεως εργασίας, όταν αυτή δύναται να παρασχεθεί με αυτόν τον τρόπο, υποβάλλοντας μέχρι και το πρώτο δεκαήμερο του επόμενου μήνα, το «ΕΝΤΥΠΟ 4.1 ΔΗΛΩΣΗ ΕΞ ΑΠΟΣΤΑΣΕΩΣ ΕΡΓΑΣΙΑ-ΕΝΤΥΠΟ ΕΙΔΙΚΟΥ ΣΚΟΠΟΥ ΤΟΥ ΑΡΘΡΟΥ 4 ΠΑΡ. 2 ΤΗΣ Π.Ν.Π. (Α΄ 55/11.03.20)» στο ΠΣ ΕΡΓΑΝΗ του Υπουργείου Εργασίας και Κοινωνικών Υποθέσεων. </w:t>
      </w:r>
      <w:r>
        <w:rPr>
          <w:rFonts w:cs="Calibri" w:ascii="Calibri" w:hAnsi="Calibri" w:asciiTheme="minorHAnsi" w:cstheme="minorHAnsi" w:hAnsiTheme="minorHAnsi"/>
          <w:color w:val="auto"/>
        </w:rPr>
        <w:t xml:space="preserve"> </w:t>
      </w:r>
    </w:p>
    <w:p>
      <w:pPr>
        <w:pStyle w:val="Default"/>
        <w:spacing w:lineRule="auto" w:line="276"/>
        <w:jc w:val="both"/>
        <w:rPr>
          <w:rFonts w:ascii="Calibri" w:hAnsi="Calibri" w:cs="Calibri" w:asciiTheme="minorHAnsi" w:cstheme="minorHAnsi" w:hAnsiTheme="minorHAnsi"/>
        </w:rPr>
      </w:pPr>
      <w:r>
        <w:rPr>
          <w:rFonts w:cs="Calibri" w:ascii="Calibri" w:hAnsi="Calibri" w:asciiTheme="minorHAnsi" w:cstheme="minorHAnsi" w:hAnsiTheme="minorHAnsi"/>
          <w:color w:val="auto"/>
        </w:rPr>
        <w:t xml:space="preserve"> </w:t>
      </w:r>
      <w:r>
        <w:rPr>
          <w:rFonts w:cs="Calibri" w:ascii="Calibri" w:hAnsi="Calibri" w:asciiTheme="minorHAnsi" w:cstheme="minorHAnsi" w:hAnsiTheme="minorHAnsi"/>
          <w:color w:val="auto"/>
        </w:rPr>
        <w:t xml:space="preserve">β. Οι </w:t>
      </w:r>
      <w:r>
        <w:rPr>
          <w:rFonts w:cs="Calibri" w:ascii="Calibri" w:hAnsi="Calibri" w:asciiTheme="minorHAnsi" w:cstheme="minorHAnsi" w:hAnsiTheme="minorHAnsi"/>
        </w:rPr>
        <w:t>επιχειρήσεις-εργοδότες της παρ. 1 του παρόντος άρθρου δύνανται να προσλαμβάνουν εργαζομένους κάνοντας χρήση του  προγράμματος «</w:t>
      </w:r>
      <w:r>
        <w:rPr>
          <w:rFonts w:cs="Calibri" w:ascii="Calibri" w:hAnsi="Calibri" w:asciiTheme="minorHAnsi" w:cstheme="minorHAnsi" w:hAnsiTheme="minorHAnsi"/>
          <w:color w:val="auto"/>
        </w:rPr>
        <w:t xml:space="preserve">Ανοικτό Πρόγραμμα 100.000 νέων επιδοτούμενων θέσεων εργασίας», μόνο </w:t>
      </w:r>
      <w:r>
        <w:rPr>
          <w:rFonts w:cs="Calibri" w:ascii="Calibri" w:hAnsi="Calibri" w:asciiTheme="minorHAnsi" w:cstheme="minorHAnsi" w:hAnsiTheme="minorHAnsi"/>
        </w:rPr>
        <w:t xml:space="preserve">για τις περιπτώσεις εξαιρέσιμων δραστηριοτήτων από την απαγόρευση λειτουργίας τους, βάσει ΚΑΔ. Οι συμβάσεις εργασίας αυτών των εργαζομένων δεν μπορούν να  τεθούν σε αναστολή και ισχύουν τα οριζόμενα στην περ.α΄ της παρούσας παραγράφου. </w:t>
      </w:r>
    </w:p>
    <w:p>
      <w:pPr>
        <w:pStyle w:val="Default"/>
        <w:spacing w:lineRule="auto" w:line="276"/>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 </w:t>
      </w:r>
      <w:r>
        <w:rPr>
          <w:rFonts w:cs="Calibri" w:ascii="Calibri" w:hAnsi="Calibri" w:asciiTheme="minorHAnsi" w:cstheme="minorHAnsi" w:hAnsiTheme="minorHAnsi"/>
        </w:rPr>
        <w:t xml:space="preserve">γ. Οι επιχειρήσεις –εργοδότες της παρ. 1 του παρόντος άρθρου, για τις  εξαιρέσιμες δραστηριότητες από την απαγόρευση λειτουργίας τους, βάσει ΚΑΔ, δύνανται να υποβάλλουν υπεύθυνη δήλωση για την αναστολή συμβάσεων εργασίας των εργαζομένων τους, είτε ως επιχειρήσεις των οποίων αναστέλλεται η λειτουργία τους με εντολή δημόσιας αρχής, είτε ως πληττόμενες, κατά τα οριζόμενα για τις επιχειρήσεις των οποίων αναστέλλεται η λειτουργία τους με εντολή δημόσιας αρχής, στην παρ. 7 του παρόντος άρθρου και για τις πληττόμενες επιχειρήσεις στις παρ. 1 και 2  του άρθρου 2 του κεφαλαίου Β. </w:t>
      </w:r>
    </w:p>
    <w:p>
      <w:pPr>
        <w:pStyle w:val="Normal"/>
        <w:spacing w:before="0" w:after="0"/>
        <w:jc w:val="both"/>
        <w:rPr>
          <w:rFonts w:ascii="Calibri" w:hAnsi="Calibri" w:cs="Calibri" w:asciiTheme="minorHAnsi" w:cstheme="minorHAnsi" w:hAnsiTheme="minorHAnsi"/>
          <w:sz w:val="24"/>
          <w:szCs w:val="24"/>
        </w:rPr>
      </w:pPr>
      <w:r>
        <w:rPr>
          <w:rFonts w:cs="Calibri" w:cstheme="minorHAnsi"/>
          <w:sz w:val="24"/>
          <w:szCs w:val="24"/>
        </w:rPr>
        <w:t>5. Οι επιχειρήσεις - εργοδότες των παρ. 1 και 2 του παρόντος άρθρου δύνανται να προβαίνουν σε προσωρινή ανάκληση αναστολής συμβάσεων εργασίας εργαζομένων τους για κάλυψη έκτακτων, πρόσκαιρων, κατεπειγουσών και ανελαστικών αναγκών, στο πλαίσιο αντιμετώπισης του κορωνοϊού COVID-19, κατά τα οριζόμενα  στο άρθρο δωδέκατο της από 1.5.2020 ΠΝΠ (Α΄ 90).</w:t>
      </w:r>
    </w:p>
    <w:p>
      <w:pPr>
        <w:pStyle w:val="ListParagraph"/>
        <w:tabs>
          <w:tab w:val="clear" w:pos="720"/>
          <w:tab w:val="left" w:pos="142" w:leader="none"/>
          <w:tab w:val="left" w:pos="284" w:leader="none"/>
        </w:tabs>
        <w:spacing w:before="0" w:after="0"/>
        <w:ind w:left="0" w:hanging="0"/>
        <w:contextualSpacing/>
        <w:jc w:val="both"/>
        <w:rPr>
          <w:rFonts w:ascii="Calibri" w:hAnsi="Calibri" w:cs="Calibri" w:asciiTheme="minorHAnsi" w:cstheme="minorHAnsi" w:hAnsiTheme="minorHAnsi"/>
          <w:sz w:val="24"/>
          <w:szCs w:val="24"/>
        </w:rPr>
      </w:pPr>
      <w:r>
        <w:rPr>
          <w:rFonts w:cs="Calibri" w:cstheme="minorHAnsi"/>
          <w:sz w:val="24"/>
          <w:szCs w:val="24"/>
        </w:rPr>
        <w:t>6. Οι επιχειρήσεις – εργοδότες της παρ.1 του παρόντος άρθρου για όσο χρονικό διάστημα οι συμβάσεις των εργαζομένων τους τελούν σε αναστολή, και σε κάθε περίπτωση μέχρι και την 31η Δεκεμβρίου 2020,</w:t>
      </w:r>
      <w:r>
        <w:rPr>
          <w:rFonts w:cs="Calibri" w:cstheme="minorHAnsi"/>
          <w:bCs/>
          <w:sz w:val="24"/>
          <w:szCs w:val="24"/>
        </w:rPr>
        <w:t xml:space="preserve"> υποχρεούνται να </w:t>
      </w:r>
      <w:r>
        <w:rPr>
          <w:rFonts w:cs="Calibri" w:cstheme="minorHAnsi"/>
          <w:sz w:val="24"/>
          <w:szCs w:val="24"/>
        </w:rPr>
        <w:t>μην προβούν σε μειώσεις προσωπικού με καταγγελία σύμβασης εργασίας και σε  περίπτωση πραγματοποίησής της, αυτή είναι άκυρη.</w:t>
      </w:r>
    </w:p>
    <w:p>
      <w:pPr>
        <w:pStyle w:val="ListParagraph"/>
        <w:tabs>
          <w:tab w:val="clear" w:pos="720"/>
          <w:tab w:val="left" w:pos="142" w:leader="none"/>
          <w:tab w:val="left" w:pos="284" w:leader="none"/>
        </w:tabs>
        <w:spacing w:before="0" w:after="0"/>
        <w:ind w:left="0" w:hanging="0"/>
        <w:contextualSpacing/>
        <w:jc w:val="both"/>
        <w:rPr>
          <w:rFonts w:ascii="Calibri" w:hAnsi="Calibri" w:cs="Calibri" w:asciiTheme="minorHAnsi" w:cstheme="minorHAnsi" w:hAnsiTheme="minorHAnsi"/>
          <w:sz w:val="24"/>
          <w:szCs w:val="24"/>
        </w:rPr>
      </w:pPr>
      <w:r>
        <w:rPr>
          <w:rFonts w:cs="Calibri" w:cstheme="minorHAnsi"/>
          <w:sz w:val="24"/>
          <w:szCs w:val="24"/>
        </w:rPr>
      </w:r>
    </w:p>
    <w:p>
      <w:pPr>
        <w:pStyle w:val="ListParagraph"/>
        <w:tabs>
          <w:tab w:val="clear" w:pos="720"/>
          <w:tab w:val="left" w:pos="142" w:leader="none"/>
          <w:tab w:val="left" w:pos="284" w:leader="none"/>
        </w:tabs>
        <w:spacing w:before="0" w:after="0"/>
        <w:ind w:left="0" w:hanging="0"/>
        <w:contextualSpacing/>
        <w:jc w:val="both"/>
        <w:rPr>
          <w:rFonts w:ascii="Calibri" w:hAnsi="Calibri" w:cs="Calibri" w:asciiTheme="minorHAnsi" w:cstheme="minorHAnsi" w:hAnsiTheme="minorHAnsi"/>
          <w:b/>
          <w:b/>
          <w:bCs/>
          <w:sz w:val="24"/>
          <w:szCs w:val="24"/>
        </w:rPr>
      </w:pPr>
      <w:r>
        <w:rPr>
          <w:rFonts w:cs="Calibri" w:cstheme="minorHAnsi"/>
          <w:b/>
          <w:bCs/>
          <w:sz w:val="24"/>
          <w:szCs w:val="24"/>
        </w:rPr>
      </w:r>
    </w:p>
    <w:p>
      <w:pPr>
        <w:pStyle w:val="ListParagraph"/>
        <w:tabs>
          <w:tab w:val="clear" w:pos="720"/>
          <w:tab w:val="left" w:pos="142" w:leader="none"/>
          <w:tab w:val="left" w:pos="284" w:leader="none"/>
        </w:tabs>
        <w:spacing w:before="0" w:after="0"/>
        <w:ind w:left="0" w:hanging="0"/>
        <w:contextualSpacing/>
        <w:jc w:val="both"/>
        <w:rPr>
          <w:rFonts w:ascii="Calibri" w:hAnsi="Calibri" w:cs="Calibri" w:asciiTheme="minorHAnsi" w:cstheme="minorHAnsi" w:hAnsiTheme="minorHAnsi"/>
          <w:b/>
          <w:b/>
          <w:bCs/>
          <w:sz w:val="24"/>
          <w:szCs w:val="24"/>
        </w:rPr>
      </w:pPr>
      <w:r>
        <w:rPr>
          <w:rFonts w:cs="Calibri" w:cstheme="minorHAnsi"/>
          <w:b/>
          <w:bCs/>
          <w:sz w:val="24"/>
          <w:szCs w:val="24"/>
        </w:rPr>
      </w:r>
    </w:p>
    <w:p>
      <w:pPr>
        <w:pStyle w:val="ListParagraph"/>
        <w:tabs>
          <w:tab w:val="clear" w:pos="720"/>
          <w:tab w:val="left" w:pos="142" w:leader="none"/>
          <w:tab w:val="left" w:pos="284" w:leader="none"/>
        </w:tabs>
        <w:spacing w:before="0" w:after="0"/>
        <w:ind w:left="0" w:hanging="0"/>
        <w:contextualSpacing/>
        <w:jc w:val="both"/>
        <w:rPr>
          <w:rFonts w:ascii="Calibri" w:hAnsi="Calibri" w:cs="Calibri" w:asciiTheme="minorHAnsi" w:cstheme="minorHAnsi" w:hAnsiTheme="minorHAnsi"/>
          <w:b/>
          <w:b/>
          <w:bCs/>
          <w:sz w:val="24"/>
          <w:szCs w:val="24"/>
        </w:rPr>
      </w:pPr>
      <w:r>
        <w:rPr>
          <w:rFonts w:cs="Calibri" w:cstheme="minorHAnsi"/>
          <w:b/>
          <w:bCs/>
          <w:sz w:val="24"/>
          <w:szCs w:val="24"/>
        </w:rPr>
      </w:r>
    </w:p>
    <w:p>
      <w:pPr>
        <w:pStyle w:val="ListParagraph"/>
        <w:tabs>
          <w:tab w:val="clear" w:pos="720"/>
          <w:tab w:val="left" w:pos="142" w:leader="none"/>
          <w:tab w:val="left" w:pos="284" w:leader="none"/>
        </w:tabs>
        <w:spacing w:before="0" w:after="0"/>
        <w:ind w:left="0" w:hanging="0"/>
        <w:contextualSpacing/>
        <w:jc w:val="both"/>
        <w:rPr>
          <w:rFonts w:ascii="Calibri" w:hAnsi="Calibri" w:cs="Calibri" w:asciiTheme="minorHAnsi" w:cstheme="minorHAnsi" w:hAnsiTheme="minorHAnsi"/>
          <w:b/>
          <w:b/>
          <w:bCs/>
          <w:sz w:val="24"/>
          <w:szCs w:val="24"/>
        </w:rPr>
      </w:pPr>
      <w:r>
        <w:rPr>
          <w:rFonts w:cs="Calibri" w:cstheme="minorHAnsi"/>
          <w:b/>
          <w:bCs/>
          <w:sz w:val="24"/>
          <w:szCs w:val="24"/>
        </w:rPr>
      </w:r>
    </w:p>
    <w:p>
      <w:pPr>
        <w:pStyle w:val="ListParagraph"/>
        <w:tabs>
          <w:tab w:val="clear" w:pos="720"/>
          <w:tab w:val="left" w:pos="142" w:leader="none"/>
          <w:tab w:val="left" w:pos="284" w:leader="none"/>
        </w:tabs>
        <w:spacing w:before="0" w:after="0"/>
        <w:ind w:left="0" w:hanging="0"/>
        <w:contextualSpacing/>
        <w:jc w:val="both"/>
        <w:rPr>
          <w:rFonts w:ascii="Calibri" w:hAnsi="Calibri" w:cs="Calibri" w:asciiTheme="minorHAnsi" w:cstheme="minorHAnsi" w:hAnsiTheme="minorHAnsi"/>
          <w:b/>
          <w:b/>
          <w:bCs/>
          <w:sz w:val="24"/>
          <w:szCs w:val="24"/>
        </w:rPr>
      </w:pPr>
      <w:r>
        <w:rPr>
          <w:rFonts w:cs="Calibri" w:cstheme="minorHAnsi"/>
          <w:b/>
          <w:bCs/>
          <w:sz w:val="24"/>
          <w:szCs w:val="24"/>
        </w:rPr>
      </w:r>
    </w:p>
    <w:p>
      <w:pPr>
        <w:pStyle w:val="Normal"/>
        <w:spacing w:before="0" w:after="0"/>
        <w:jc w:val="center"/>
        <w:rPr>
          <w:rFonts w:ascii="Calibri" w:hAnsi="Calibri" w:cs="Calibri" w:asciiTheme="minorHAnsi" w:cstheme="minorHAnsi" w:hAnsiTheme="minorHAnsi"/>
          <w:b/>
          <w:b/>
          <w:bCs/>
          <w:sz w:val="24"/>
          <w:szCs w:val="24"/>
        </w:rPr>
      </w:pPr>
      <w:r>
        <w:rPr>
          <w:rFonts w:cs="Calibri" w:cstheme="minorHAnsi"/>
          <w:b/>
          <w:bCs/>
          <w:sz w:val="24"/>
          <w:szCs w:val="24"/>
        </w:rPr>
        <w:t>ΚΕΦΑΛΑΙΟ Β</w:t>
      </w:r>
    </w:p>
    <w:p>
      <w:pPr>
        <w:pStyle w:val="Normal"/>
        <w:spacing w:before="0" w:after="0"/>
        <w:jc w:val="both"/>
        <w:rPr>
          <w:rFonts w:ascii="Calibri" w:hAnsi="Calibri" w:cs="Calibri" w:asciiTheme="minorHAnsi" w:cstheme="minorHAnsi" w:hAnsiTheme="minorHAnsi"/>
          <w:b/>
          <w:b/>
          <w:sz w:val="24"/>
          <w:szCs w:val="24"/>
        </w:rPr>
      </w:pPr>
      <w:r>
        <w:rPr>
          <w:rFonts w:cs="Calibri" w:cstheme="minorHAnsi"/>
          <w:b/>
          <w:sz w:val="24"/>
          <w:szCs w:val="24"/>
        </w:rPr>
        <w:t>Αναστολή  συμβάσεων εργασίας</w:t>
      </w:r>
      <w:r>
        <w:rPr>
          <w:rFonts w:cs="Calibri" w:cstheme="minorHAnsi"/>
          <w:sz w:val="24"/>
          <w:szCs w:val="24"/>
        </w:rPr>
        <w:t xml:space="preserve"> </w:t>
      </w:r>
      <w:r>
        <w:rPr>
          <w:rFonts w:cs="Calibri" w:cstheme="minorHAnsi"/>
          <w:b/>
          <w:sz w:val="24"/>
          <w:szCs w:val="24"/>
        </w:rPr>
        <w:t>εργαζομένων σε επιχειρήσεις-εργοδότες του ιδιωτικού τομέα που πλήττονται για τον μήνα Δεκέμβριο 2020</w:t>
      </w:r>
    </w:p>
    <w:p>
      <w:pPr>
        <w:pStyle w:val="Normal"/>
        <w:spacing w:before="0" w:after="0"/>
        <w:jc w:val="both"/>
        <w:rPr>
          <w:rFonts w:ascii="Calibri" w:hAnsi="Calibri" w:cs="Calibri" w:asciiTheme="minorHAnsi" w:cstheme="minorHAnsi" w:hAnsiTheme="minorHAnsi"/>
          <w:b/>
          <w:b/>
          <w:sz w:val="24"/>
          <w:szCs w:val="24"/>
        </w:rPr>
      </w:pPr>
      <w:r>
        <w:rPr>
          <w:rFonts w:cs="Calibri" w:cstheme="minorHAnsi"/>
          <w:b/>
          <w:sz w:val="24"/>
          <w:szCs w:val="24"/>
        </w:rPr>
      </w:r>
    </w:p>
    <w:p>
      <w:pPr>
        <w:pStyle w:val="Normal"/>
        <w:spacing w:before="0" w:after="0"/>
        <w:jc w:val="center"/>
        <w:rPr>
          <w:rFonts w:ascii="Calibri" w:hAnsi="Calibri" w:cs="Calibri" w:asciiTheme="minorHAnsi" w:cstheme="minorHAnsi" w:hAnsiTheme="minorHAnsi"/>
          <w:b/>
          <w:b/>
          <w:sz w:val="24"/>
          <w:szCs w:val="24"/>
        </w:rPr>
      </w:pPr>
      <w:r>
        <w:rPr>
          <w:rFonts w:cs="Calibri" w:cstheme="minorHAnsi"/>
          <w:b/>
          <w:sz w:val="24"/>
          <w:szCs w:val="24"/>
        </w:rPr>
      </w:r>
    </w:p>
    <w:p>
      <w:pPr>
        <w:pStyle w:val="Normal"/>
        <w:spacing w:before="0" w:after="0"/>
        <w:jc w:val="center"/>
        <w:rPr>
          <w:rFonts w:ascii="Calibri" w:hAnsi="Calibri" w:cs="Calibri" w:asciiTheme="minorHAnsi" w:cstheme="minorHAnsi" w:hAnsiTheme="minorHAnsi"/>
          <w:b/>
          <w:b/>
          <w:sz w:val="24"/>
          <w:szCs w:val="24"/>
        </w:rPr>
      </w:pPr>
      <w:r>
        <w:rPr>
          <w:rFonts w:cs="Calibri" w:cstheme="minorHAnsi"/>
          <w:b/>
          <w:sz w:val="24"/>
          <w:szCs w:val="24"/>
        </w:rPr>
        <w:t>Άρθρο 1</w:t>
      </w:r>
    </w:p>
    <w:p>
      <w:pPr>
        <w:pStyle w:val="Normal"/>
        <w:spacing w:before="0" w:after="0"/>
        <w:jc w:val="center"/>
        <w:rPr>
          <w:rFonts w:ascii="Calibri" w:hAnsi="Calibri" w:cs="Calibri" w:asciiTheme="minorHAnsi" w:cstheme="minorHAnsi" w:hAnsiTheme="minorHAnsi"/>
          <w:b/>
          <w:b/>
          <w:sz w:val="24"/>
          <w:szCs w:val="24"/>
        </w:rPr>
      </w:pPr>
      <w:r>
        <w:rPr>
          <w:rFonts w:cs="Calibri" w:cstheme="minorHAnsi"/>
          <w:b/>
          <w:sz w:val="24"/>
          <w:szCs w:val="24"/>
        </w:rPr>
        <w:t>Επιχειρήσεις – εργοδότες που δύνανται να θέτουν σε αναστολή συμβάσεις εργασίας των εργαζομένων τους</w:t>
      </w:r>
    </w:p>
    <w:p>
      <w:pPr>
        <w:pStyle w:val="Normal"/>
        <w:spacing w:before="0" w:after="0"/>
        <w:rPr>
          <w:rFonts w:ascii="Calibri" w:hAnsi="Calibri" w:cs="Calibri" w:asciiTheme="minorHAnsi" w:cstheme="minorHAnsi" w:hAnsiTheme="minorHAnsi"/>
          <w:b/>
          <w:b/>
          <w:sz w:val="24"/>
          <w:szCs w:val="24"/>
        </w:rPr>
      </w:pPr>
      <w:r>
        <w:rPr>
          <w:rFonts w:cs="Calibri" w:cstheme="minorHAnsi"/>
          <w:b/>
          <w:sz w:val="24"/>
          <w:szCs w:val="24"/>
        </w:rPr>
      </w:r>
    </w:p>
    <w:p>
      <w:pPr>
        <w:pStyle w:val="ListParagraph"/>
        <w:spacing w:before="0" w:after="0"/>
        <w:ind w:left="0" w:hanging="0"/>
        <w:contextualSpacing/>
        <w:jc w:val="both"/>
        <w:rPr>
          <w:rFonts w:ascii="Calibri" w:hAnsi="Calibri" w:cs="Calibri" w:asciiTheme="minorHAnsi" w:cstheme="minorHAnsi" w:hAnsiTheme="minorHAnsi"/>
          <w:sz w:val="24"/>
          <w:szCs w:val="24"/>
        </w:rPr>
      </w:pPr>
      <w:r>
        <w:rPr>
          <w:rFonts w:eastAsia="Calibri" w:cs="Calibri" w:cstheme="minorHAnsi" w:eastAsiaTheme="minorHAnsi"/>
          <w:sz w:val="24"/>
          <w:szCs w:val="24"/>
          <w:lang w:eastAsia="en-US"/>
        </w:rPr>
        <w:t>1. Οι επιχειρήσεις-εργοδότες του ιδιωτικού τομέα</w:t>
      </w:r>
      <w:r>
        <w:rPr>
          <w:rFonts w:cs="Calibri" w:cstheme="minorHAnsi"/>
          <w:sz w:val="24"/>
          <w:szCs w:val="24"/>
        </w:rPr>
        <w:t xml:space="preserve"> που πλήττ</w:t>
      </w:r>
      <w:r>
        <w:rPr>
          <w:rFonts w:eastAsia="Calibri" w:cs="Calibri" w:cstheme="minorHAnsi" w:eastAsiaTheme="minorHAnsi"/>
          <w:sz w:val="24"/>
          <w:szCs w:val="24"/>
          <w:lang w:eastAsia="en-US"/>
        </w:rPr>
        <w:t xml:space="preserve">ονται, βάσει ΚΑΔ </w:t>
      </w:r>
      <w:r>
        <w:rPr>
          <w:rFonts w:cs="Calibri" w:cstheme="minorHAnsi"/>
          <w:sz w:val="24"/>
          <w:szCs w:val="24"/>
        </w:rPr>
        <w:t xml:space="preserve">που ορίζονται από το Υπουργείο Οικονομικών, </w:t>
      </w:r>
      <w:r>
        <w:rPr>
          <w:rFonts w:eastAsia="Calibri" w:cs="Calibri" w:cstheme="minorHAnsi" w:eastAsiaTheme="minorHAnsi"/>
          <w:sz w:val="24"/>
          <w:szCs w:val="24"/>
          <w:lang w:eastAsia="en-US"/>
        </w:rPr>
        <w:t>σύμφωνα με τα σχετικά παραρτήματα της παρούσας, δύνανται</w:t>
      </w:r>
      <w:r>
        <w:rPr>
          <w:rFonts w:cs="Calibri" w:cstheme="minorHAnsi"/>
          <w:sz w:val="24"/>
          <w:szCs w:val="24"/>
        </w:rPr>
        <w:t xml:space="preserve"> κατά τον μήνα Δεκέμβριο κατ΄ ανώτατο χρονικό διάστημα έως τριάντα (30) ημέρες  και πάντως όχι πέραν της 31ης  Δεκεμβρίου 2020:</w:t>
      </w:r>
    </w:p>
    <w:p>
      <w:pPr>
        <w:pStyle w:val="Normal"/>
        <w:spacing w:before="0" w:after="0"/>
        <w:jc w:val="both"/>
        <w:rPr>
          <w:rFonts w:ascii="Calibri" w:hAnsi="Calibri" w:eastAsia="Calibri" w:cs="Calibri" w:asciiTheme="minorHAnsi" w:cstheme="minorHAnsi" w:eastAsiaTheme="minorHAnsi" w:hAnsiTheme="minorHAnsi"/>
          <w:sz w:val="24"/>
          <w:szCs w:val="24"/>
          <w:lang w:eastAsia="en-US"/>
        </w:rPr>
      </w:pPr>
      <w:r>
        <w:rPr>
          <w:rFonts w:cs="Calibri" w:cstheme="minorHAnsi"/>
          <w:sz w:val="24"/>
          <w:szCs w:val="24"/>
        </w:rPr>
        <w:t xml:space="preserve">α. </w:t>
      </w:r>
      <w:r>
        <w:rPr>
          <w:rFonts w:eastAsia="Calibri" w:cs="Calibri" w:cstheme="minorHAnsi" w:eastAsiaTheme="minorHAnsi"/>
          <w:sz w:val="24"/>
          <w:szCs w:val="24"/>
          <w:lang w:eastAsia="en-US"/>
        </w:rPr>
        <w:t>να θέτουν σε αναστολή ή να παρατείνουν την αναστολή συμβάσεων εργασίας των εργαζομένων τους που έχουν ήδη τεθεί σε αναστολή</w:t>
      </w:r>
      <w:r>
        <w:rPr>
          <w:rFonts w:cs="Calibri" w:cstheme="minorHAnsi"/>
          <w:sz w:val="24"/>
          <w:szCs w:val="24"/>
        </w:rPr>
        <w:t>, κατ’ εφαρμογή των σχετικών διατάξεων που αφορούν στην αντιμετώπιση των συνεπειών του κινδύνου διασποράς του κορωνοϊού COVID-19,</w:t>
      </w:r>
      <w:r>
        <w:rPr>
          <w:rFonts w:eastAsia="Calibri" w:cs="Calibri" w:cstheme="minorHAnsi" w:eastAsiaTheme="minorHAnsi"/>
          <w:sz w:val="24"/>
          <w:szCs w:val="24"/>
          <w:lang w:eastAsia="en-US"/>
        </w:rPr>
        <w:t xml:space="preserve"> ή και</w:t>
      </w:r>
    </w:p>
    <w:p>
      <w:pPr>
        <w:pStyle w:val="Normal"/>
        <w:spacing w:before="0" w:after="0"/>
        <w:jc w:val="both"/>
        <w:rPr>
          <w:rFonts w:ascii="Calibri" w:hAnsi="Calibri" w:eastAsia="Calibri" w:cs="Calibri" w:asciiTheme="minorHAnsi" w:cstheme="minorHAnsi" w:eastAsiaTheme="minorHAnsi" w:hAnsiTheme="minorHAnsi"/>
          <w:sz w:val="24"/>
          <w:szCs w:val="24"/>
          <w:lang w:eastAsia="en-US"/>
        </w:rPr>
      </w:pPr>
      <w:r>
        <w:rPr>
          <w:rFonts w:cs="Calibri" w:cstheme="minorHAnsi"/>
          <w:sz w:val="24"/>
          <w:szCs w:val="24"/>
        </w:rPr>
        <w:t xml:space="preserve">β. </w:t>
      </w:r>
      <w:r>
        <w:rPr>
          <w:rFonts w:eastAsia="Calibri" w:cs="Calibri" w:cstheme="minorHAnsi" w:eastAsiaTheme="minorHAnsi"/>
          <w:sz w:val="24"/>
          <w:szCs w:val="24"/>
          <w:lang w:eastAsia="en-US"/>
        </w:rPr>
        <w:t>να θέτουν για πρώτη φορά σε αναστολή συμβάσεις εργασίας μέρους ή του συνόλου των εργαζομένων τους, που έχουν προσληφθεί έως και την 4η Νοεμβρίου 2020.</w:t>
      </w:r>
    </w:p>
    <w:p>
      <w:pPr>
        <w:pStyle w:val="Normal"/>
        <w:spacing w:before="0" w:after="0"/>
        <w:jc w:val="both"/>
        <w:rPr>
          <w:rFonts w:ascii="Calibri" w:hAnsi="Calibri" w:eastAsia="Calibri" w:cs="Calibri" w:asciiTheme="minorHAnsi" w:cstheme="minorHAnsi" w:eastAsiaTheme="minorHAnsi" w:hAnsiTheme="minorHAnsi"/>
          <w:sz w:val="24"/>
          <w:szCs w:val="24"/>
          <w:lang w:eastAsia="en-US"/>
        </w:rPr>
      </w:pPr>
      <w:r>
        <w:rPr>
          <w:rFonts w:eastAsia="Calibri" w:cs="Calibri" w:cstheme="minorHAnsi" w:eastAsiaTheme="minorHAnsi"/>
          <w:sz w:val="24"/>
          <w:szCs w:val="24"/>
          <w:lang w:eastAsia="en-US"/>
        </w:rPr>
        <w:t xml:space="preserve">2. Οι ανωτέρω επιχειρήσεις – εργοδότες μπορούν να εφαρμόζουν το μέτρο της  αναστολής των συμβάσεων εργασίας σταδιακά και για διαφορετικό αριθμό εργαζομένων, μέχρι και του ποσοστού 100%  αυτών, ανά υπεύθυνη δήλωση της επιχείρησης στο ΠΣ ΕΡΓΑΝΗ. </w:t>
      </w:r>
    </w:p>
    <w:p>
      <w:pPr>
        <w:pStyle w:val="Normal"/>
        <w:spacing w:before="0" w:after="0"/>
        <w:jc w:val="both"/>
        <w:rPr>
          <w:rFonts w:ascii="Calibri" w:hAnsi="Calibri" w:cs="Calibri" w:asciiTheme="minorHAnsi" w:cstheme="minorHAnsi" w:hAnsiTheme="minorHAnsi"/>
          <w:color w:val="000000"/>
          <w:sz w:val="24"/>
          <w:szCs w:val="24"/>
        </w:rPr>
      </w:pPr>
      <w:r>
        <w:rPr>
          <w:rFonts w:cs="Calibri" w:cstheme="minorHAnsi"/>
          <w:color w:val="000000"/>
          <w:sz w:val="24"/>
          <w:szCs w:val="24"/>
        </w:rPr>
        <w:t xml:space="preserve">3. Οι επιχειρήσεις – εργοδότες της παρ.1 του παρόντος άρθρου που κάνουν χρήση του μέτρου της αναστολής των συμβάσεων εργασίας των εργαζομένων τους σε ποσοστό 100% αυτών, δύνανται να θέτουν σε αναστολή και τις συμβάσεις εργασίας επιδοτούμενων εργαζομένων του προγράμματος «Ανοικτό Πρόγραμμα 100.000 νέων επιδοτούμενων θέσεων εργασίας» του άρθρου 28 του ν. 4726/2020 (Α΄ 181), κατά παρέκκλιση της παρ. 7 του άρθρου 5 της με αριθμ. οικ. 39539/996/ 30.9.2020 (Β΄ 4261) κοινής υπουργικής απόφασης.  </w:t>
      </w:r>
    </w:p>
    <w:p>
      <w:pPr>
        <w:pStyle w:val="Default"/>
        <w:spacing w:lineRule="auto" w:line="276"/>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4. Οι συμβάσεις εργασίας των εργαζομένων σε επιχειρήσεις – εργοδότες της παρ. 1 του παρόντος άρθρου που έχουν υποβάλει Αίτηση-Υπεύθυνη Δήλωση α΄ φάσεως για την ένταξη εργαζομένων τους στον Μηχανισμό «ΣΥΝ-ΕΡΓΑΣΙΑ» του άρθρου 31 του ν. 4690/2020 (Α΄ 104) στο ΠΣ ΕΡΓΑΝΗ για τον μήνα Δεκέμβριο,  δύνανται να τεθούν  σε αναστολή και οι επιχειρήσεις – εργοδότες οφείλουν προηγουμένως να προβούν σε τροποποίηση/ορθή επανάληψη της ανωτέρω Αίτησης-Υπεύθυνης Δήλωσης. </w:t>
      </w:r>
    </w:p>
    <w:p>
      <w:pPr>
        <w:pStyle w:val="Default"/>
        <w:spacing w:lineRule="auto" w:line="276"/>
        <w:jc w:val="both"/>
        <w:rPr>
          <w:rFonts w:ascii="Calibri" w:hAnsi="Calibri" w:cs="Calibri" w:asciiTheme="minorHAnsi" w:cstheme="minorHAnsi" w:hAnsiTheme="minorHAnsi"/>
        </w:rPr>
      </w:pPr>
      <w:r>
        <w:rPr>
          <w:rFonts w:cs="Calibri" w:cstheme="minorHAnsi" w:ascii="Calibri" w:hAnsi="Calibri"/>
        </w:rPr>
      </w:r>
    </w:p>
    <w:p>
      <w:pPr>
        <w:pStyle w:val="Default"/>
        <w:spacing w:lineRule="auto" w:line="276"/>
        <w:jc w:val="both"/>
        <w:rPr>
          <w:rFonts w:ascii="Calibri" w:hAnsi="Calibri" w:cs="Calibri" w:asciiTheme="minorHAnsi" w:cstheme="minorHAnsi" w:hAnsiTheme="minorHAnsi"/>
        </w:rPr>
      </w:pPr>
      <w:r>
        <w:rPr>
          <w:rFonts w:cs="Calibri" w:cstheme="minorHAnsi" w:ascii="Calibri" w:hAnsi="Calibri"/>
        </w:rPr>
      </w:r>
    </w:p>
    <w:p>
      <w:pPr>
        <w:pStyle w:val="Default"/>
        <w:spacing w:lineRule="auto" w:line="276"/>
        <w:jc w:val="both"/>
        <w:rPr>
          <w:rFonts w:ascii="Calibri" w:hAnsi="Calibri" w:cs="Calibri" w:asciiTheme="minorHAnsi" w:cstheme="minorHAnsi" w:hAnsiTheme="minorHAnsi"/>
        </w:rPr>
      </w:pPr>
      <w:r>
        <w:rPr>
          <w:rFonts w:cs="Calibri" w:cstheme="minorHAnsi" w:ascii="Calibri" w:hAnsi="Calibri"/>
        </w:rPr>
      </w:r>
    </w:p>
    <w:p>
      <w:pPr>
        <w:pStyle w:val="Default"/>
        <w:spacing w:lineRule="auto" w:line="276"/>
        <w:jc w:val="both"/>
        <w:rPr>
          <w:rFonts w:ascii="Calibri" w:hAnsi="Calibri" w:cs="Calibri" w:asciiTheme="minorHAnsi" w:cstheme="minorHAnsi" w:hAnsiTheme="minorHAnsi"/>
        </w:rPr>
      </w:pPr>
      <w:r>
        <w:rPr>
          <w:rFonts w:cs="Calibri" w:cstheme="minorHAnsi" w:ascii="Calibri" w:hAnsi="Calibri"/>
        </w:rPr>
      </w:r>
    </w:p>
    <w:p>
      <w:pPr>
        <w:pStyle w:val="Normal"/>
        <w:spacing w:before="0" w:after="0"/>
        <w:jc w:val="center"/>
        <w:rPr>
          <w:rFonts w:ascii="Calibri" w:hAnsi="Calibri" w:cs="Calibri" w:asciiTheme="minorHAnsi" w:cstheme="minorHAnsi" w:hAnsiTheme="minorHAnsi"/>
          <w:b/>
          <w:b/>
          <w:sz w:val="24"/>
          <w:szCs w:val="24"/>
        </w:rPr>
      </w:pPr>
      <w:r>
        <w:rPr>
          <w:rFonts w:cs="Calibri" w:cstheme="minorHAnsi"/>
          <w:b/>
          <w:sz w:val="24"/>
          <w:szCs w:val="24"/>
        </w:rPr>
        <w:t>Άρθρο 2</w:t>
      </w:r>
    </w:p>
    <w:p>
      <w:pPr>
        <w:pStyle w:val="Normal"/>
        <w:spacing w:before="0" w:after="0"/>
        <w:jc w:val="center"/>
        <w:rPr>
          <w:rFonts w:ascii="Calibri" w:hAnsi="Calibri" w:cs="Calibri" w:asciiTheme="minorHAnsi" w:cstheme="minorHAnsi" w:hAnsiTheme="minorHAnsi"/>
          <w:b/>
          <w:b/>
          <w:sz w:val="24"/>
          <w:szCs w:val="24"/>
        </w:rPr>
      </w:pPr>
      <w:r>
        <w:rPr>
          <w:rFonts w:cs="Calibri" w:cstheme="minorHAnsi"/>
          <w:b/>
          <w:sz w:val="24"/>
          <w:szCs w:val="24"/>
        </w:rPr>
        <w:t xml:space="preserve">Ακυρότητα καταγγελίας συμβάσεων εργασίας- Ρήτρα διατήρησης θέσεων εργασίας - Συμβάσεις εξαρτημένης εργασίας ορισμένου χρόνου - Ανάκληση αναστολών συμβάσεων εργασίας </w:t>
      </w:r>
    </w:p>
    <w:p>
      <w:pPr>
        <w:pStyle w:val="Normal"/>
        <w:spacing w:before="0" w:after="0"/>
        <w:jc w:val="center"/>
        <w:rPr>
          <w:rFonts w:ascii="Calibri" w:hAnsi="Calibri" w:cs="Calibri" w:asciiTheme="minorHAnsi" w:cstheme="minorHAnsi" w:hAnsiTheme="minorHAnsi"/>
          <w:b/>
          <w:b/>
          <w:sz w:val="24"/>
          <w:szCs w:val="24"/>
        </w:rPr>
      </w:pPr>
      <w:r>
        <w:rPr>
          <w:rFonts w:cs="Calibri" w:cstheme="minorHAnsi"/>
          <w:b/>
          <w:sz w:val="24"/>
          <w:szCs w:val="24"/>
        </w:rPr>
      </w:r>
    </w:p>
    <w:p>
      <w:pPr>
        <w:pStyle w:val="Normal"/>
        <w:tabs>
          <w:tab w:val="clear" w:pos="720"/>
          <w:tab w:val="left" w:pos="0" w:leader="none"/>
        </w:tabs>
        <w:spacing w:before="0" w:after="0"/>
        <w:jc w:val="both"/>
        <w:rPr>
          <w:rFonts w:ascii="Calibri" w:hAnsi="Calibri" w:cs="Calibri" w:asciiTheme="minorHAnsi" w:cstheme="minorHAnsi" w:hAnsiTheme="minorHAnsi"/>
          <w:sz w:val="24"/>
          <w:szCs w:val="24"/>
        </w:rPr>
      </w:pPr>
      <w:r>
        <w:rPr>
          <w:rFonts w:cs="Calibri" w:cstheme="minorHAnsi"/>
          <w:sz w:val="24"/>
          <w:szCs w:val="24"/>
        </w:rPr>
        <w:t xml:space="preserve">1. Οι επιχειρήσεις – εργοδότες της παρ. 1 του άρθρου 1 </w:t>
      </w:r>
      <w:r>
        <w:rPr>
          <w:rFonts w:cs="Calibri" w:cstheme="minorHAnsi"/>
          <w:bCs/>
          <w:sz w:val="24"/>
          <w:szCs w:val="24"/>
        </w:rPr>
        <w:t>του παρόντος κεφαλαίου</w:t>
      </w:r>
      <w:r>
        <w:rPr>
          <w:rFonts w:cs="Calibri" w:cstheme="minorHAnsi"/>
          <w:sz w:val="24"/>
          <w:szCs w:val="24"/>
        </w:rPr>
        <w:t>, για όσο χρονικό διάστημα οι συμβάσεις των εργαζομένων τους τελούν σε αναστολή, και σε κάθε περίπτωση μέχρι και την 31</w:t>
      </w:r>
      <w:r>
        <w:rPr>
          <w:rFonts w:cs="Calibri" w:cstheme="minorHAnsi"/>
          <w:sz w:val="24"/>
          <w:szCs w:val="24"/>
          <w:vertAlign w:val="superscript"/>
        </w:rPr>
        <w:t>η</w:t>
      </w:r>
      <w:r>
        <w:rPr>
          <w:rFonts w:cs="Calibri" w:cstheme="minorHAnsi"/>
          <w:sz w:val="24"/>
          <w:szCs w:val="24"/>
        </w:rPr>
        <w:t xml:space="preserve"> Δεκεμβρίου 2020,</w:t>
      </w:r>
      <w:r>
        <w:rPr>
          <w:rFonts w:cs="Calibri" w:cstheme="minorHAnsi"/>
          <w:bCs/>
          <w:sz w:val="24"/>
          <w:szCs w:val="24"/>
        </w:rPr>
        <w:t xml:space="preserve"> υποχρεούνται να </w:t>
      </w:r>
      <w:r>
        <w:rPr>
          <w:rFonts w:cs="Calibri" w:cstheme="minorHAnsi"/>
          <w:sz w:val="24"/>
          <w:szCs w:val="24"/>
        </w:rPr>
        <w:t>μην προβούν σε μειώσεις προσωπικού με καταγγελία σύμβασης εργασίας και σε  περίπτωση πραγματοποίησής της, αυτή είναι άκυρη.</w:t>
      </w:r>
    </w:p>
    <w:p>
      <w:pPr>
        <w:pStyle w:val="HTMLPreformatted"/>
        <w:spacing w:lineRule="auto" w:line="276"/>
        <w:jc w:val="both"/>
        <w:rPr>
          <w:rFonts w:ascii="Calibri" w:hAnsi="Calibri" w:eastAsia="Times New Roman" w:cs="Calibri" w:asciiTheme="minorHAnsi" w:cstheme="minorHAnsi" w:hAnsiTheme="minorHAnsi"/>
          <w:sz w:val="24"/>
          <w:szCs w:val="24"/>
          <w:lang w:eastAsia="el-GR"/>
        </w:rPr>
      </w:pPr>
      <w:r>
        <w:rPr>
          <w:rFonts w:cs="Calibri" w:ascii="Calibri" w:hAnsi="Calibri" w:asciiTheme="minorHAnsi" w:cstheme="minorHAnsi" w:hAnsiTheme="minorHAnsi"/>
          <w:sz w:val="24"/>
          <w:szCs w:val="24"/>
        </w:rPr>
        <w:t xml:space="preserve">2.  </w:t>
      </w:r>
      <w:r>
        <w:rPr>
          <w:rFonts w:eastAsia="Times New Roman" w:cs="Calibri" w:ascii="Calibri" w:hAnsi="Calibri" w:asciiTheme="minorHAnsi" w:cstheme="minorHAnsi" w:hAnsiTheme="minorHAnsi"/>
          <w:sz w:val="24"/>
          <w:szCs w:val="24"/>
          <w:lang w:eastAsia="el-GR"/>
        </w:rPr>
        <w:t xml:space="preserve">Οι επιχειρήσεις-εργοδότες της παρ. 1 του άρθρου 1 του παρόντος κεφαλαίου που κάνουν χρήση του μέτρου της αναστολής των συμβάσεων εργασίας,  για τον μήνα Δεκέμβριο, υποχρεούνται μετά το πέρας της αναστολής των συμβάσεων εργασίας, να διατηρήσουν τον ίδιο αριθμό θέσεων εργασίας και με το ίδιο είδος σύμβασης εργασίας, για χρονικό διάστημα ίσο με το χρονικό διάστημα της αναστολής των συμβάσεων εργασίας των εργαζομένων αυτών. Για τον υπολογισμό του ισόχρονου διαστήματος, σε περίπτωση που οι συμβάσεις εργασίας των εργαζομένων τίθενται σε αναστολή  σε διαφορετικής διάρκειας χρονικά διαστήματα, λαμβάνεται υπόψη το συνολικό διάστημα που οι επιχειρήσεις –εργοδότες έκαναν χρήση του μέτρου της αναστολής. </w:t>
      </w:r>
    </w:p>
    <w:p>
      <w:pPr>
        <w:pStyle w:val="HTMLPreformatted"/>
        <w:spacing w:lineRule="auto" w:line="276"/>
        <w:jc w:val="both"/>
        <w:rPr>
          <w:rFonts w:ascii="Calibri" w:hAnsi="Calibri" w:cs="Calibri" w:asciiTheme="minorHAnsi" w:cstheme="minorHAnsi" w:hAnsiTheme="minorHAnsi"/>
          <w:color w:val="000000" w:themeColor="text1"/>
          <w:sz w:val="24"/>
          <w:szCs w:val="24"/>
        </w:rPr>
      </w:pPr>
      <w:r>
        <w:rPr>
          <w:rFonts w:cs="Calibri" w:ascii="Calibri" w:hAnsi="Calibri" w:asciiTheme="minorHAnsi" w:cstheme="minorHAnsi" w:hAnsiTheme="minorHAnsi"/>
          <w:sz w:val="24"/>
          <w:szCs w:val="24"/>
        </w:rPr>
        <w:t>Η  υποχρέωση αυτή δεν υφίσταται όταν συντρέχει αντικειμενική αδυναμία εκπλήρωσής της, όπως σε περιπτώσεις επιχειρήσεων που από τη μορφή, το είδος ή τη δραστηριότητά τους έχουν συγκεκριμένο χρόνο λειτουργίας.</w:t>
      </w:r>
    </w:p>
    <w:p>
      <w:pPr>
        <w:pStyle w:val="Normal"/>
        <w:spacing w:before="0" w:after="0"/>
        <w:jc w:val="both"/>
        <w:rPr>
          <w:rFonts w:ascii="Calibri" w:hAnsi="Calibri" w:cs="Calibri" w:asciiTheme="minorHAnsi" w:cstheme="minorHAnsi" w:hAnsiTheme="minorHAnsi"/>
          <w:color w:val="000000" w:themeColor="text1"/>
          <w:sz w:val="24"/>
          <w:szCs w:val="24"/>
        </w:rPr>
      </w:pPr>
      <w:r>
        <w:rPr>
          <w:rFonts w:cs="Calibri" w:cstheme="minorHAnsi"/>
          <w:sz w:val="24"/>
          <w:szCs w:val="24"/>
        </w:rPr>
        <w:t>Στην έννοια του ιδίου αριθμού θέσεων εργασίας δεν συμπεριλαμβάνονται οι αποχωρούντες οικειοθελώς από την εργασία τους, οι αποχωρούντες λόγω συνταξιοδότησης ή θανάτου καθώς και οι εργαζόμενοι ορισμένου χρόνου των οποίων η σύμβαση εργασίας τους λήγει κατά τη διάρκεια του ανωτέρω χρονικού διαστήματος.</w:t>
      </w:r>
      <w:r>
        <w:rPr>
          <w:rFonts w:cs="Calibri" w:cstheme="minorHAnsi"/>
          <w:color w:val="000000" w:themeColor="text1"/>
          <w:sz w:val="24"/>
          <w:szCs w:val="24"/>
        </w:rPr>
        <w:t xml:space="preserve"> </w:t>
      </w:r>
    </w:p>
    <w:p>
      <w:pPr>
        <w:pStyle w:val="Normal"/>
        <w:spacing w:before="0" w:after="0"/>
        <w:jc w:val="both"/>
        <w:rPr>
          <w:rFonts w:ascii="Calibri" w:hAnsi="Calibri" w:cs="Calibri" w:asciiTheme="minorHAnsi" w:cstheme="minorHAnsi" w:hAnsiTheme="minorHAnsi"/>
          <w:sz w:val="24"/>
          <w:szCs w:val="24"/>
        </w:rPr>
      </w:pPr>
      <w:r>
        <w:rPr>
          <w:rFonts w:cs="Calibri" w:cstheme="minorHAnsi"/>
          <w:sz w:val="24"/>
          <w:szCs w:val="24"/>
        </w:rPr>
        <w:t>3. Η αναστολή συμβάσεων εξαρτημένης εργασίας ορισμένου χρόνου εργαζομένων σε επιχειρήσεις - εργοδότες της παρ. 1 του άρθρου 1 του παρόντος κεφαλαίου, που είχαν τεθεί σε αναστολή στο παρελθόν, δύναται να παραταθεί κατ’ ανώτατο όριο έως τριάντα (30) ημέρες και όχι πέραν της 31</w:t>
      </w:r>
      <w:r>
        <w:rPr>
          <w:rFonts w:cs="Calibri" w:cstheme="minorHAnsi"/>
          <w:sz w:val="24"/>
          <w:szCs w:val="24"/>
          <w:vertAlign w:val="superscript"/>
        </w:rPr>
        <w:t>ης</w:t>
      </w:r>
      <w:r>
        <w:rPr>
          <w:rFonts w:cs="Calibri" w:cstheme="minorHAnsi"/>
          <w:sz w:val="24"/>
          <w:szCs w:val="24"/>
        </w:rPr>
        <w:t xml:space="preserve"> Δεκεμβρίου </w:t>
      </w:r>
      <w:r>
        <w:rPr>
          <w:rFonts w:eastAsia="Calibri" w:cs="Calibri" w:cstheme="minorHAnsi" w:eastAsiaTheme="minorHAnsi"/>
          <w:sz w:val="24"/>
          <w:szCs w:val="24"/>
          <w:lang w:eastAsia="en-US"/>
        </w:rPr>
        <w:t>2020</w:t>
      </w:r>
      <w:r>
        <w:rPr>
          <w:rFonts w:cs="Calibri" w:cstheme="minorHAnsi"/>
          <w:sz w:val="24"/>
          <w:szCs w:val="24"/>
        </w:rPr>
        <w:t xml:space="preserve">. Επίσης, δύνανται να τεθούν για πρώτη φορά ή εκ νέου σε αναστολή συμβάσεις εξαρτημένης εργασίας ορισμένου χρόνου εργαζομένων που έχουν προσληφθεί έως και την 4η Νοεμβρίου 2020. </w:t>
      </w:r>
    </w:p>
    <w:p>
      <w:pPr>
        <w:pStyle w:val="Normal"/>
        <w:spacing w:before="0" w:after="0"/>
        <w:jc w:val="both"/>
        <w:rPr>
          <w:rFonts w:ascii="Calibri" w:hAnsi="Calibri" w:cs="Calibri" w:asciiTheme="minorHAnsi" w:cstheme="minorHAnsi" w:hAnsiTheme="minorHAnsi"/>
          <w:color w:val="000000" w:themeColor="text1"/>
          <w:sz w:val="24"/>
          <w:szCs w:val="24"/>
        </w:rPr>
      </w:pPr>
      <w:r>
        <w:rPr>
          <w:rFonts w:cs="Calibri" w:cstheme="minorHAnsi"/>
          <w:sz w:val="24"/>
          <w:szCs w:val="24"/>
        </w:rPr>
        <w:t xml:space="preserve">Σε κάθε περίπτωση μετά το πέρας του διαστήματος της αναστολής ή της παράτασης της αναστολής, οι ανωτέρω συμβάσεις εργασίας συνεχίζονται για τον συμφωνηθέντα χρόνο που υπολείπεται. </w:t>
      </w:r>
      <w:r>
        <w:rPr>
          <w:rFonts w:cs="Calibri" w:cstheme="minorHAnsi"/>
          <w:color w:val="000000" w:themeColor="text1"/>
          <w:sz w:val="24"/>
          <w:szCs w:val="24"/>
        </w:rPr>
        <w:t xml:space="preserve">Η  υποχρέωση αυτή δεν υφίσταται όταν συντρέχει αντικειμενική αδυναμία εκπλήρωσής της, όπως σε περιπτώσεις </w:t>
      </w:r>
      <w:r>
        <w:rPr>
          <w:rFonts w:cs="Calibri" w:cstheme="minorHAnsi"/>
          <w:sz w:val="24"/>
          <w:szCs w:val="24"/>
        </w:rPr>
        <w:t xml:space="preserve">επιχειρήσεων που από τη μορφή, </w:t>
      </w:r>
      <w:r>
        <w:rPr>
          <w:rFonts w:cs="Calibri" w:cstheme="minorHAnsi"/>
          <w:color w:val="000000" w:themeColor="text1"/>
          <w:sz w:val="24"/>
          <w:szCs w:val="24"/>
        </w:rPr>
        <w:t xml:space="preserve">το είδος ή τη δραστηριότητά τους έχουν συγκεκριμένο χρόνο λειτουργίας. </w:t>
      </w:r>
    </w:p>
    <w:p>
      <w:pPr>
        <w:pStyle w:val="Normal"/>
        <w:spacing w:before="0" w:after="0"/>
        <w:jc w:val="both"/>
        <w:rPr>
          <w:rFonts w:ascii="Calibri" w:hAnsi="Calibri" w:cs="Calibri" w:asciiTheme="minorHAnsi" w:cstheme="minorHAnsi" w:hAnsiTheme="minorHAnsi"/>
          <w:sz w:val="24"/>
          <w:szCs w:val="24"/>
        </w:rPr>
      </w:pPr>
      <w:r>
        <w:rPr>
          <w:rFonts w:cs="Calibri" w:cstheme="minorHAnsi"/>
          <w:sz w:val="24"/>
          <w:szCs w:val="24"/>
        </w:rPr>
        <w:t>4. Οι επιχειρήσεις – εργοδότες που πλήττονται,  βάσει ΚΑΔ, που ορίζονται από το Υπουργείο Οικονομικών σύμφωνα με τα σχετικά παραρτήματα της παρούσας, και έχουν θέσει σε αναστολή τις συμβάσεις εργασίας μέρους ή του συνόλου των εργαζομένων τους, δύνανται να προβαίνουν σε ανάκληση της αναστολής των συμβάσεων εργασίας των εργαζομένων αυτών. Μπορούν επίσης να θέτουν εκ νέου  σε αναστολή τις συμβάσεις εργασίας εργαζομένων τους ανεξάρτητα από το αν έχει ανακληθεί η αναστολή τους. Σε κάθε περίπτωση τα ανωτέρω ισχύουν έως και την 31</w:t>
      </w:r>
      <w:r>
        <w:rPr>
          <w:rFonts w:cs="Calibri" w:cstheme="minorHAnsi"/>
          <w:sz w:val="24"/>
          <w:szCs w:val="24"/>
          <w:vertAlign w:val="superscript"/>
        </w:rPr>
        <w:t>η</w:t>
      </w:r>
      <w:r>
        <w:rPr>
          <w:rFonts w:cs="Calibri" w:cstheme="minorHAnsi"/>
          <w:sz w:val="24"/>
          <w:szCs w:val="24"/>
        </w:rPr>
        <w:t xml:space="preserve"> Δεκεμβρίου 2020.</w:t>
      </w:r>
    </w:p>
    <w:p>
      <w:pPr>
        <w:pStyle w:val="Normal"/>
        <w:spacing w:before="0" w:after="0"/>
        <w:jc w:val="both"/>
        <w:rPr>
          <w:rFonts w:ascii="Calibri" w:hAnsi="Calibri" w:cs="Calibri" w:asciiTheme="minorHAnsi" w:cstheme="minorHAnsi" w:hAnsiTheme="minorHAnsi"/>
          <w:sz w:val="24"/>
          <w:szCs w:val="24"/>
        </w:rPr>
      </w:pPr>
      <w:r>
        <w:rPr>
          <w:rFonts w:cs="Calibri" w:cstheme="minorHAnsi"/>
          <w:sz w:val="24"/>
          <w:szCs w:val="24"/>
        </w:rPr>
        <w:t xml:space="preserve">5. Οι επιχειρήσεις - εργοδότες της παρ. 1 του άρθρου 1 του παρόντος κεφαλαίου: </w:t>
      </w:r>
    </w:p>
    <w:p>
      <w:pPr>
        <w:pStyle w:val="Normal"/>
        <w:spacing w:before="0" w:after="0"/>
        <w:jc w:val="both"/>
        <w:rPr>
          <w:rFonts w:ascii="Calibri" w:hAnsi="Calibri" w:cs="Calibri" w:asciiTheme="minorHAnsi" w:cstheme="minorHAnsi" w:hAnsiTheme="minorHAnsi"/>
          <w:strike/>
          <w:sz w:val="24"/>
          <w:szCs w:val="24"/>
        </w:rPr>
      </w:pPr>
      <w:r>
        <w:rPr>
          <w:rFonts w:cs="Calibri" w:cstheme="minorHAnsi"/>
          <w:sz w:val="24"/>
          <w:szCs w:val="24"/>
        </w:rPr>
        <w:t xml:space="preserve">α. δύνανται να κάνουν χρήση </w:t>
      </w:r>
      <w:r>
        <w:rPr>
          <w:rFonts w:cs="Calibri" w:cstheme="minorHAnsi"/>
          <w:color w:val="000000"/>
          <w:sz w:val="24"/>
          <w:szCs w:val="24"/>
        </w:rPr>
        <w:t xml:space="preserve">του Μηχανισμού «ΣΥΝ-ΕΡΓΑΣΙΑ» </w:t>
      </w:r>
      <w:r>
        <w:rPr>
          <w:rFonts w:cs="Calibri" w:cstheme="minorHAnsi"/>
          <w:sz w:val="24"/>
          <w:szCs w:val="24"/>
        </w:rPr>
        <w:t xml:space="preserve">του άρθρου 31 του ν. 4690/2020 (Α΄ 104), όπως ισχύει, για μέρος ή για το σύνολο των εργαζομένων τους των οποίων οι συμβάσεις εργασίας δεν τελούν σε αναστολή, </w:t>
      </w:r>
    </w:p>
    <w:p>
      <w:pPr>
        <w:pStyle w:val="HTMLPreformatted"/>
        <w:spacing w:lineRule="auto" w:line="276"/>
        <w:jc w:val="both"/>
        <w:rPr>
          <w:rFonts w:ascii="Calibri" w:hAnsi="Calibri" w:eastAsia="Times New Roman" w:cs="Calibri" w:asciiTheme="minorHAnsi" w:cstheme="minorHAnsi" w:hAnsiTheme="minorHAnsi"/>
          <w:sz w:val="24"/>
          <w:szCs w:val="24"/>
          <w:lang w:eastAsia="el-GR"/>
        </w:rPr>
      </w:pPr>
      <w:r>
        <w:rPr>
          <w:rFonts w:eastAsia="Times New Roman" w:cs="Calibri" w:ascii="Calibri" w:hAnsi="Calibri" w:asciiTheme="minorHAnsi" w:cstheme="minorHAnsi" w:hAnsiTheme="minorHAnsi"/>
          <w:sz w:val="24"/>
          <w:szCs w:val="24"/>
          <w:lang w:eastAsia="el-GR"/>
        </w:rPr>
        <w:t xml:space="preserve">β. υποχρεούνται, για τους εργαζόμενους των οποίων οι συμβάσεις εργασίας τους δεν έχουν τεθεί σε αναστολή, να εφαρμόζουν το σύστημα της εξ αποστάσεως παροχής εργασίας σε όποιες περιπτώσεις η εργασία τους μπορεί να παρασχεθεί με αυτό το σύστημα, σύμφωνα με τα οριζόμενα στη με  αριθμ. οικ. 44921/1377/2.11.2020 (Β΄ 4830) κοινή υπουργική απόφαση. </w:t>
      </w:r>
    </w:p>
    <w:p>
      <w:pPr>
        <w:pStyle w:val="Normal"/>
        <w:spacing w:before="0" w:after="0"/>
        <w:rPr>
          <w:rFonts w:ascii="Calibri" w:hAnsi="Calibri" w:cs="Calibri" w:asciiTheme="minorHAnsi" w:cstheme="minorHAnsi" w:hAnsiTheme="minorHAnsi"/>
          <w:b/>
          <w:b/>
          <w:sz w:val="24"/>
          <w:szCs w:val="24"/>
        </w:rPr>
      </w:pPr>
      <w:r>
        <w:rPr>
          <w:rFonts w:cs="Calibri" w:cstheme="minorHAnsi"/>
          <w:b/>
          <w:sz w:val="24"/>
          <w:szCs w:val="24"/>
        </w:rPr>
      </w:r>
    </w:p>
    <w:p>
      <w:pPr>
        <w:pStyle w:val="Normal"/>
        <w:spacing w:before="0" w:after="0"/>
        <w:rPr>
          <w:rFonts w:ascii="Calibri" w:hAnsi="Calibri" w:cs="Calibri" w:asciiTheme="minorHAnsi" w:cstheme="minorHAnsi" w:hAnsiTheme="minorHAnsi"/>
          <w:b/>
          <w:b/>
          <w:sz w:val="24"/>
          <w:szCs w:val="24"/>
        </w:rPr>
      </w:pPr>
      <w:r>
        <w:rPr>
          <w:rFonts w:cs="Calibri" w:cstheme="minorHAnsi"/>
          <w:b/>
          <w:sz w:val="24"/>
          <w:szCs w:val="24"/>
        </w:rPr>
      </w:r>
    </w:p>
    <w:p>
      <w:pPr>
        <w:pStyle w:val="Normal"/>
        <w:spacing w:before="0" w:after="0"/>
        <w:jc w:val="center"/>
        <w:rPr>
          <w:rFonts w:ascii="Calibri" w:hAnsi="Calibri" w:cs="Calibri" w:asciiTheme="minorHAnsi" w:cstheme="minorHAnsi" w:hAnsiTheme="minorHAnsi"/>
          <w:b/>
          <w:b/>
          <w:sz w:val="24"/>
          <w:szCs w:val="24"/>
        </w:rPr>
      </w:pPr>
      <w:r>
        <w:rPr>
          <w:rFonts w:cs="Calibri" w:cstheme="minorHAnsi"/>
          <w:b/>
          <w:sz w:val="24"/>
          <w:szCs w:val="24"/>
        </w:rPr>
        <w:t>ΚΕΦΑΛΑΙΟ Γ</w:t>
      </w:r>
    </w:p>
    <w:p>
      <w:pPr>
        <w:pStyle w:val="Normal"/>
        <w:spacing w:before="0" w:after="0"/>
        <w:jc w:val="center"/>
        <w:rPr>
          <w:rFonts w:ascii="Calibri" w:hAnsi="Calibri" w:cs="Calibri" w:asciiTheme="minorHAnsi" w:cstheme="minorHAnsi" w:hAnsiTheme="minorHAnsi"/>
          <w:b/>
          <w:b/>
          <w:sz w:val="24"/>
          <w:szCs w:val="24"/>
        </w:rPr>
      </w:pPr>
      <w:r>
        <w:rPr>
          <w:rFonts w:cs="Calibri" w:cstheme="minorHAnsi"/>
          <w:b/>
          <w:sz w:val="24"/>
          <w:szCs w:val="24"/>
        </w:rPr>
      </w:r>
    </w:p>
    <w:p>
      <w:pPr>
        <w:pStyle w:val="Normal"/>
        <w:spacing w:before="0" w:after="0"/>
        <w:rPr>
          <w:rFonts w:ascii="Calibri" w:hAnsi="Calibri" w:cs="Calibri" w:asciiTheme="minorHAnsi" w:cstheme="minorHAnsi" w:hAnsiTheme="minorHAnsi"/>
          <w:b/>
          <w:b/>
          <w:sz w:val="24"/>
          <w:szCs w:val="24"/>
        </w:rPr>
      </w:pPr>
      <w:r>
        <w:rPr>
          <w:rFonts w:cs="Calibri" w:cstheme="minorHAnsi"/>
          <w:b/>
          <w:bCs/>
          <w:sz w:val="24"/>
          <w:szCs w:val="24"/>
        </w:rPr>
        <w:t xml:space="preserve"> </w:t>
      </w:r>
      <w:r>
        <w:rPr>
          <w:rFonts w:cs="Calibri" w:cstheme="minorHAnsi"/>
          <w:b/>
          <w:bCs/>
          <w:sz w:val="24"/>
          <w:szCs w:val="24"/>
        </w:rPr>
        <w:t xml:space="preserve">Αποζημίωση ειδικού σκοπού- </w:t>
      </w:r>
      <w:r>
        <w:rPr>
          <w:rFonts w:cs="Calibri" w:cstheme="minorHAnsi"/>
          <w:b/>
          <w:sz w:val="24"/>
          <w:szCs w:val="24"/>
        </w:rPr>
        <w:t>Διαδικασία λήψης αποζημίωσης ειδικού σκοπού για τις περιπτώσεις των κεφαλαίων Α και Β</w:t>
      </w:r>
    </w:p>
    <w:p>
      <w:pPr>
        <w:pStyle w:val="Normal"/>
        <w:spacing w:before="0" w:after="0"/>
        <w:rPr>
          <w:rFonts w:ascii="Calibri" w:hAnsi="Calibri" w:cs="Calibri" w:asciiTheme="minorHAnsi" w:cstheme="minorHAnsi" w:hAnsiTheme="minorHAnsi"/>
          <w:b/>
          <w:b/>
          <w:bCs/>
          <w:sz w:val="24"/>
          <w:szCs w:val="24"/>
        </w:rPr>
      </w:pPr>
      <w:r>
        <w:rPr>
          <w:rFonts w:cs="Calibri" w:cstheme="minorHAnsi"/>
          <w:b/>
          <w:bCs/>
          <w:sz w:val="24"/>
          <w:szCs w:val="24"/>
        </w:rPr>
      </w:r>
    </w:p>
    <w:p>
      <w:pPr>
        <w:pStyle w:val="Normal"/>
        <w:spacing w:before="0" w:after="0"/>
        <w:jc w:val="center"/>
        <w:rPr>
          <w:rFonts w:ascii="Calibri" w:hAnsi="Calibri" w:cs="Calibri" w:asciiTheme="minorHAnsi" w:cstheme="minorHAnsi" w:hAnsiTheme="minorHAnsi"/>
          <w:b/>
          <w:b/>
          <w:bCs/>
          <w:sz w:val="24"/>
          <w:szCs w:val="24"/>
        </w:rPr>
      </w:pPr>
      <w:r>
        <w:rPr>
          <w:rFonts w:cs="Calibri" w:cstheme="minorHAnsi"/>
          <w:b/>
          <w:bCs/>
          <w:sz w:val="24"/>
          <w:szCs w:val="24"/>
        </w:rPr>
        <w:t>Άρθρο 1</w:t>
      </w:r>
    </w:p>
    <w:p>
      <w:pPr>
        <w:pStyle w:val="Normal"/>
        <w:spacing w:before="0" w:after="0"/>
        <w:jc w:val="center"/>
        <w:rPr>
          <w:rFonts w:ascii="Calibri" w:hAnsi="Calibri" w:cs="Calibri" w:asciiTheme="minorHAnsi" w:cstheme="minorHAnsi" w:hAnsiTheme="minorHAnsi"/>
          <w:b/>
          <w:b/>
          <w:bCs/>
          <w:sz w:val="24"/>
          <w:szCs w:val="24"/>
        </w:rPr>
      </w:pPr>
      <w:r>
        <w:rPr>
          <w:rFonts w:cs="Calibri" w:cstheme="minorHAnsi"/>
          <w:b/>
          <w:bCs/>
          <w:sz w:val="24"/>
          <w:szCs w:val="24"/>
        </w:rPr>
        <w:t xml:space="preserve">Αποζημίωση ειδικού σκοπού </w:t>
      </w:r>
    </w:p>
    <w:p>
      <w:pPr>
        <w:pStyle w:val="Normal"/>
        <w:spacing w:before="0" w:after="0"/>
        <w:jc w:val="center"/>
        <w:rPr>
          <w:rFonts w:ascii="Calibri" w:hAnsi="Calibri" w:cs="Calibri" w:asciiTheme="minorHAnsi" w:cstheme="minorHAnsi" w:hAnsiTheme="minorHAnsi"/>
          <w:sz w:val="24"/>
          <w:szCs w:val="24"/>
        </w:rPr>
      </w:pPr>
      <w:r>
        <w:rPr>
          <w:rFonts w:cs="Calibri" w:cstheme="minorHAnsi"/>
          <w:sz w:val="24"/>
          <w:szCs w:val="24"/>
        </w:rPr>
      </w:r>
    </w:p>
    <w:p>
      <w:pPr>
        <w:pStyle w:val="Normal"/>
        <w:shd w:val="clear" w:color="auto" w:fill="FFFFFF"/>
        <w:spacing w:before="0" w:after="21"/>
        <w:jc w:val="both"/>
        <w:rPr>
          <w:rFonts w:ascii="Calibri" w:hAnsi="Calibri" w:cs="Calibri" w:asciiTheme="minorHAnsi" w:cstheme="minorHAnsi" w:hAnsiTheme="minorHAnsi"/>
          <w:sz w:val="24"/>
          <w:szCs w:val="24"/>
        </w:rPr>
      </w:pPr>
      <w:r>
        <w:rPr>
          <w:rFonts w:cs="Calibri" w:cstheme="minorHAnsi"/>
          <w:sz w:val="24"/>
          <w:szCs w:val="24"/>
        </w:rPr>
        <w:t xml:space="preserve">1. Οι εργαζόμενοι σε επιχειρήσεις – εργοδότες των  κεφαλαίων Α και Β της παρούσας, των οποίων οι συμβάσεις εργασίας τελούν σε αναστολή, είναι δικαιούχοι της αποζημίωσης ειδικού σκοπού του δέκατου τρίτου άρθρου της από 14.3.2020 Πράξης Νομοθετικού Περιεχομένου (Α΄ 64), όπως αυτή κυρώθηκε με το άρθρο 3 του ν. 4682/2020 (Α΄ 76), κατ’ αναλογία των ημερών διάρκειας της αναστολής των συμβάσεων εργασίας τους, με βάση υπολογισμού το ποσό των πεντακοσίων τριάντα τεσσάρων ευρώ (534,00 €) που αντιστοιχεί σε τριάντα (30) ημέρες.  </w:t>
      </w:r>
    </w:p>
    <w:p>
      <w:pPr>
        <w:pStyle w:val="Normal"/>
        <w:spacing w:before="0" w:after="0"/>
        <w:jc w:val="both"/>
        <w:rPr>
          <w:rFonts w:ascii="Calibri" w:hAnsi="Calibri" w:cs="Calibri" w:asciiTheme="minorHAnsi" w:cstheme="minorHAnsi" w:hAnsiTheme="minorHAnsi"/>
          <w:sz w:val="24"/>
          <w:szCs w:val="24"/>
        </w:rPr>
      </w:pPr>
      <w:r>
        <w:rPr>
          <w:rFonts w:cs="Calibri" w:cstheme="minorHAnsi"/>
          <w:sz w:val="24"/>
          <w:szCs w:val="24"/>
        </w:rPr>
        <w:t>2. Η αποζημίωση της παρ. 1 του παρόντος άρθρου είναι αφορολόγητη, ανεκχώρητη και ακατάσχετη στα χέρια του Δημοσίου ή τρίτων, κατά παρέκκλιση κάθε γενικής και ειδικής διάταξης, δεν υπόκειται σε οποιαδήποτε κράτηση, τέλος ή εισφορά, συμπεριλαμβανομένης και της ειδικής εισφοράς αλληλεγγύης του άρθρου 43 Α του ν. 4172/2013 (Α΄ 167), δεν δεσμεύεται και δεν συμψηφίζεται με βεβαιωμένα χρέη προς τη φορολογική διοίκηση και το Δημόσιο εν γένει, τους δήμους, τις περιφέρειες, τα ασφαλιστικά ταμεία ή τα πιστωτικά ιδρύματα.</w:t>
      </w:r>
    </w:p>
    <w:p>
      <w:pPr>
        <w:pStyle w:val="Normal"/>
        <w:spacing w:before="0" w:after="0"/>
        <w:jc w:val="both"/>
        <w:rPr>
          <w:rFonts w:ascii="Calibri" w:hAnsi="Calibri" w:cs="Calibri" w:asciiTheme="minorHAnsi" w:cstheme="minorHAnsi" w:hAnsiTheme="minorHAnsi"/>
          <w:sz w:val="24"/>
          <w:szCs w:val="24"/>
        </w:rPr>
      </w:pPr>
      <w:r>
        <w:rPr>
          <w:rFonts w:cs="Calibri" w:cstheme="minorHAnsi"/>
          <w:sz w:val="24"/>
          <w:szCs w:val="24"/>
        </w:rPr>
        <w:t>3. Η δαπάνη για την αποζημίωση ειδικού σκοπού, κατ’ αναλογία του χρονικού διαστήματος αναστολής, καλύπτεται από τον κρατικό προϋπολογισμό.</w:t>
      </w:r>
    </w:p>
    <w:p>
      <w:pPr>
        <w:pStyle w:val="Normal"/>
        <w:spacing w:before="0" w:after="0"/>
        <w:jc w:val="center"/>
        <w:rPr>
          <w:rFonts w:ascii="Calibri" w:hAnsi="Calibri" w:cs="Calibri" w:asciiTheme="minorHAnsi" w:cstheme="minorHAnsi" w:hAnsiTheme="minorHAnsi"/>
          <w:sz w:val="24"/>
          <w:szCs w:val="24"/>
        </w:rPr>
      </w:pPr>
      <w:r>
        <w:rPr>
          <w:rFonts w:cs="Calibri" w:cstheme="minorHAnsi"/>
          <w:sz w:val="24"/>
          <w:szCs w:val="24"/>
        </w:rPr>
      </w:r>
      <w:bookmarkStart w:id="0" w:name="_Hlk41854989"/>
      <w:bookmarkStart w:id="1" w:name="_Hlk41854989"/>
    </w:p>
    <w:p>
      <w:pPr>
        <w:pStyle w:val="Normal"/>
        <w:spacing w:before="0" w:after="0"/>
        <w:jc w:val="center"/>
        <w:rPr>
          <w:rFonts w:ascii="Calibri" w:hAnsi="Calibri" w:cs="Calibri" w:asciiTheme="minorHAnsi" w:cstheme="minorHAnsi" w:hAnsiTheme="minorHAnsi"/>
          <w:b/>
          <w:b/>
          <w:bCs/>
          <w:sz w:val="24"/>
          <w:szCs w:val="24"/>
        </w:rPr>
      </w:pPr>
      <w:bookmarkStart w:id="2" w:name="_Hlk41854989"/>
      <w:r>
        <w:rPr>
          <w:rFonts w:cs="Calibri" w:cstheme="minorHAnsi"/>
          <w:b/>
          <w:bCs/>
          <w:sz w:val="24"/>
          <w:szCs w:val="24"/>
        </w:rPr>
        <w:t>Άρθρο</w:t>
      </w:r>
      <w:bookmarkEnd w:id="2"/>
      <w:r>
        <w:rPr>
          <w:rFonts w:cs="Calibri" w:cstheme="minorHAnsi"/>
          <w:b/>
          <w:bCs/>
          <w:sz w:val="24"/>
          <w:szCs w:val="24"/>
        </w:rPr>
        <w:t xml:space="preserve"> 2</w:t>
      </w:r>
    </w:p>
    <w:p>
      <w:pPr>
        <w:pStyle w:val="Normal"/>
        <w:spacing w:before="0" w:after="0"/>
        <w:jc w:val="center"/>
        <w:rPr>
          <w:rFonts w:ascii="Calibri" w:hAnsi="Calibri" w:cs="Calibri" w:asciiTheme="minorHAnsi" w:cstheme="minorHAnsi" w:hAnsiTheme="minorHAnsi"/>
          <w:b/>
          <w:b/>
          <w:sz w:val="24"/>
          <w:szCs w:val="24"/>
        </w:rPr>
      </w:pPr>
      <w:r>
        <w:rPr>
          <w:rFonts w:cs="Calibri" w:cstheme="minorHAnsi"/>
          <w:b/>
          <w:sz w:val="24"/>
          <w:szCs w:val="24"/>
        </w:rPr>
        <w:t>Διαδικασία λήψης αποζημίωσης ειδικού σκοπού</w:t>
      </w:r>
    </w:p>
    <w:p>
      <w:pPr>
        <w:pStyle w:val="Normal"/>
        <w:spacing w:before="0" w:after="0"/>
        <w:jc w:val="center"/>
        <w:rPr>
          <w:rFonts w:ascii="Calibri" w:hAnsi="Calibri" w:cs="Calibri" w:asciiTheme="minorHAnsi" w:cstheme="minorHAnsi" w:hAnsiTheme="minorHAnsi"/>
          <w:b/>
          <w:b/>
          <w:sz w:val="24"/>
          <w:szCs w:val="24"/>
        </w:rPr>
      </w:pPr>
      <w:r>
        <w:rPr>
          <w:rFonts w:cs="Calibri" w:cstheme="minorHAnsi"/>
          <w:b/>
          <w:sz w:val="24"/>
          <w:szCs w:val="24"/>
        </w:rPr>
      </w:r>
    </w:p>
    <w:p>
      <w:pPr>
        <w:pStyle w:val="Normal"/>
        <w:spacing w:before="0" w:after="0"/>
        <w:jc w:val="both"/>
        <w:rPr>
          <w:rFonts w:ascii="Calibri" w:hAnsi="Calibri" w:cs="Calibri" w:asciiTheme="minorHAnsi" w:cstheme="minorHAnsi" w:hAnsiTheme="minorHAnsi"/>
          <w:sz w:val="24"/>
          <w:szCs w:val="24"/>
        </w:rPr>
      </w:pPr>
      <w:r>
        <w:rPr>
          <w:rFonts w:cs="Calibri" w:cstheme="minorHAnsi"/>
          <w:sz w:val="24"/>
          <w:szCs w:val="24"/>
        </w:rPr>
        <w:t xml:space="preserve">1. Οι επιχειρήσεις – εργοδότες των κεφαλαίων </w:t>
      </w:r>
      <w:r>
        <w:rPr>
          <w:rFonts w:cs="Calibri" w:cstheme="minorHAnsi"/>
          <w:sz w:val="24"/>
          <w:szCs w:val="24"/>
          <w:lang w:val="en-US"/>
        </w:rPr>
        <w:t>A</w:t>
      </w:r>
      <w:r>
        <w:rPr>
          <w:rFonts w:cs="Calibri" w:cstheme="minorHAnsi"/>
          <w:sz w:val="24"/>
          <w:szCs w:val="24"/>
        </w:rPr>
        <w:t xml:space="preserve"> και Β της παρούσας, προβαίνουν είτε σε αρχική δήλωση των εργαζομένων τους, των οποίων οι συμβάσεις εργασίας τίθενται σε αναστολή για πρώτη φορά, είτε σε εκ νέου δήλωση των εργαζομένων των οποίων οι συμβάσεις εργασίας τίθενται  ξανά σε αναστολή, είτε βεβαιώνουν ότι παρατείνεται η αναστολή των συμβάσεων εργασίας των εργαζομένων τους που έχουν ήδη τεθεί σε αναστολή στο ΠΣ ΕΡΓΑΝΗ. </w:t>
      </w:r>
    </w:p>
    <w:p>
      <w:pPr>
        <w:pStyle w:val="Normal"/>
        <w:spacing w:before="0" w:after="0"/>
        <w:jc w:val="both"/>
        <w:rPr>
          <w:rFonts w:cs="Calibri" w:cstheme="minorHAnsi"/>
          <w:sz w:val="24"/>
          <w:szCs w:val="24"/>
        </w:rPr>
      </w:pPr>
      <w:r>
        <w:rPr>
          <w:rFonts w:cs="Calibri" w:cstheme="minorHAnsi"/>
          <w:sz w:val="24"/>
          <w:szCs w:val="24"/>
        </w:rPr>
        <w:t xml:space="preserve">2. Οι εργαζόμενοι,  </w:t>
      </w:r>
      <w:r>
        <w:rPr>
          <w:rFonts w:cs="Calibri" w:cstheme="minorHAnsi"/>
          <w:sz w:val="24"/>
          <w:szCs w:val="24"/>
        </w:rPr>
        <w:t xml:space="preserve">των οποίων η σύμβαση εργασίας τους  τίθεται σε αναστολή για πρώτη φορά κατά τον μήνα Δεκέμβριο,  </w:t>
      </w:r>
      <w:r>
        <w:rPr>
          <w:rFonts w:cs="Calibri" w:cstheme="minorHAnsi"/>
          <w:sz w:val="24"/>
          <w:szCs w:val="24"/>
        </w:rPr>
        <w:t xml:space="preserve">υποβάλλουν  υπεύθυνη δήλωση στην ηλεκτρονική πλατφόρμα του ειδικού μηχανισμού στήριξης των εργαζομένων (supportemployees.yeka.gr), </w:t>
      </w:r>
      <w:r>
        <w:rPr>
          <w:rFonts w:cs="Calibri" w:cstheme="minorHAnsi"/>
          <w:sz w:val="24"/>
          <w:szCs w:val="24"/>
        </w:rPr>
        <w:t>μετά την υποβολή της υπεύθυνης δήλωσης του εργοδότη τους.</w:t>
      </w:r>
    </w:p>
    <w:p>
      <w:pPr>
        <w:pStyle w:val="Normal"/>
        <w:spacing w:before="0" w:after="0"/>
        <w:jc w:val="both"/>
        <w:rPr>
          <w:rFonts w:ascii="Calibri" w:hAnsi="Calibri" w:cs="Calibri" w:asciiTheme="minorHAnsi" w:cstheme="minorHAnsi" w:hAnsiTheme="minorHAnsi"/>
          <w:sz w:val="24"/>
          <w:szCs w:val="24"/>
        </w:rPr>
      </w:pPr>
      <w:r>
        <w:rPr>
          <w:rFonts w:cs="Calibri" w:cstheme="minorHAnsi"/>
          <w:sz w:val="24"/>
          <w:szCs w:val="24"/>
        </w:rPr>
        <w:t>Στην υπεύθυνη δήλωση συμπεριλαμβάνονται, εκτός των προσωπικών τους στοιχείων και του αριθμού πρωτοκόλλου καταχώρισης της υπεύθυνης δήλωσης του εργοδότη στο ΠΣ ΕΡΓΑΝΗ, τα οποία αντλούνται αυτόματα από το ΠΣ ΕΡΓΑΝΗ, και τα στοιχεία του προσωπικού τους τραπεζικού λογαριασμού (ΙΒΑΝ). Επίσης, δηλώνουν και το αν μισθώνουν κύρια κατοικία, καθώς και τα στοιχεία του εκμισθωτή και του μίσθιου ακινήτου.</w:t>
      </w:r>
    </w:p>
    <w:p>
      <w:pPr>
        <w:pStyle w:val="Normal"/>
        <w:spacing w:before="0" w:after="0"/>
        <w:jc w:val="both"/>
        <w:rPr>
          <w:rFonts w:ascii="Calibri" w:hAnsi="Calibri" w:cs="Calibri" w:asciiTheme="minorHAnsi" w:cstheme="minorHAnsi" w:hAnsiTheme="minorHAnsi"/>
          <w:sz w:val="24"/>
          <w:szCs w:val="24"/>
        </w:rPr>
      </w:pPr>
      <w:r>
        <w:rPr>
          <w:rFonts w:cs="Calibri" w:cstheme="minorHAnsi"/>
          <w:sz w:val="24"/>
          <w:szCs w:val="24"/>
        </w:rPr>
        <w:t>Για την περίπτωση των εργαζομένων, των οποίων κατά τον μήνα Δεκέμβριο 2020 παρατείνεται η αναστολή των συμβάσεων εργασίας τους ή των εργαζομένων των οποίων οι συμβάσεις εργασίας τίθενται εκ νέου σε αναστολή, ανεξαρτήτως προσώπου εργοδότη, δεν απαιτείται επανυποβολή υπεύθυνης δήλωσης από τους εργαζόμενους, εκτός κι αν επιθυμούν τροποποίηση στοιχείων του τραπεζικού τους λογαριασμού (ΙΒΑΝ) ή στοιχείων της μίσθωσης κύριας κατοικίας τους.</w:t>
      </w:r>
    </w:p>
    <w:p>
      <w:pPr>
        <w:pStyle w:val="Normal"/>
        <w:tabs>
          <w:tab w:val="clear" w:pos="720"/>
          <w:tab w:val="left" w:pos="284" w:leader="none"/>
        </w:tabs>
        <w:spacing w:before="0" w:after="0"/>
        <w:jc w:val="both"/>
        <w:rPr>
          <w:rFonts w:ascii="Calibri" w:hAnsi="Calibri" w:cs="Calibri" w:asciiTheme="minorHAnsi" w:cstheme="minorHAnsi" w:hAnsiTheme="minorHAnsi"/>
          <w:sz w:val="24"/>
          <w:szCs w:val="24"/>
        </w:rPr>
      </w:pPr>
      <w:r>
        <w:rPr>
          <w:rFonts w:cs="Calibri" w:cstheme="minorHAnsi"/>
          <w:sz w:val="24"/>
          <w:szCs w:val="24"/>
        </w:rPr>
        <w:t>3. Σε κάθε περίπτωση, οι επιχειρήσεις - εργοδότες υποχρεούνται να γνωστοποιήσουν αμελλητί την ανωτέρω υπεύθυνη δήλωσή τους, εγγράφως ή με ηλεκτρονικό ταχυδρομείο, στους εργαζομένους τους, δηλώνοντάς τους και τον αριθμό πρωτοκόλλου καταχώρισης της πράξης τους στο ΠΣ ΕΡΓΑΝΗ.</w:t>
      </w:r>
    </w:p>
    <w:p>
      <w:pPr>
        <w:pStyle w:val="Normal"/>
        <w:spacing w:before="0" w:after="0"/>
        <w:jc w:val="both"/>
        <w:rPr>
          <w:rFonts w:ascii="Calibri" w:hAnsi="Calibri" w:cs="Calibri" w:asciiTheme="minorHAnsi" w:cstheme="minorHAnsi" w:hAnsiTheme="minorHAnsi"/>
          <w:sz w:val="24"/>
          <w:szCs w:val="24"/>
        </w:rPr>
      </w:pPr>
      <w:r>
        <w:rPr>
          <w:rFonts w:cs="Calibri" w:cstheme="minorHAnsi"/>
          <w:sz w:val="24"/>
          <w:szCs w:val="24"/>
        </w:rPr>
      </w:r>
    </w:p>
    <w:p>
      <w:pPr>
        <w:pStyle w:val="Normal"/>
        <w:spacing w:before="0" w:after="0"/>
        <w:jc w:val="both"/>
        <w:rPr>
          <w:rFonts w:ascii="Calibri" w:hAnsi="Calibri" w:cs="Calibri" w:asciiTheme="minorHAnsi" w:cstheme="minorHAnsi" w:hAnsiTheme="minorHAnsi"/>
          <w:sz w:val="24"/>
          <w:szCs w:val="24"/>
        </w:rPr>
      </w:pPr>
      <w:r>
        <w:rPr>
          <w:rFonts w:cs="Calibri" w:cstheme="minorHAnsi"/>
          <w:sz w:val="24"/>
          <w:szCs w:val="24"/>
        </w:rPr>
      </w:r>
    </w:p>
    <w:p>
      <w:pPr>
        <w:pStyle w:val="Normal"/>
        <w:spacing w:before="0" w:after="0"/>
        <w:jc w:val="both"/>
        <w:rPr>
          <w:rFonts w:ascii="Calibri" w:hAnsi="Calibri" w:cs="Calibri" w:asciiTheme="minorHAnsi" w:cstheme="minorHAnsi" w:hAnsiTheme="minorHAnsi"/>
          <w:sz w:val="24"/>
          <w:szCs w:val="24"/>
        </w:rPr>
      </w:pPr>
      <w:r>
        <w:rPr>
          <w:rFonts w:cs="Calibri" w:cstheme="minorHAnsi"/>
          <w:sz w:val="24"/>
          <w:szCs w:val="24"/>
        </w:rPr>
      </w:r>
    </w:p>
    <w:p>
      <w:pPr>
        <w:pStyle w:val="Normal"/>
        <w:spacing w:before="0" w:after="0"/>
        <w:jc w:val="both"/>
        <w:rPr>
          <w:rFonts w:ascii="Calibri" w:hAnsi="Calibri" w:cs="Calibri" w:asciiTheme="minorHAnsi" w:cstheme="minorHAnsi" w:hAnsiTheme="minorHAnsi"/>
          <w:sz w:val="24"/>
          <w:szCs w:val="24"/>
        </w:rPr>
      </w:pPr>
      <w:r>
        <w:rPr>
          <w:rFonts w:cs="Calibri" w:cstheme="minorHAnsi"/>
          <w:sz w:val="24"/>
          <w:szCs w:val="24"/>
        </w:rPr>
      </w:r>
    </w:p>
    <w:p>
      <w:pPr>
        <w:pStyle w:val="Normal"/>
        <w:spacing w:before="0" w:after="0"/>
        <w:jc w:val="both"/>
        <w:rPr>
          <w:rFonts w:ascii="Calibri" w:hAnsi="Calibri" w:cs="Calibri" w:asciiTheme="minorHAnsi" w:cstheme="minorHAnsi" w:hAnsiTheme="minorHAnsi"/>
          <w:sz w:val="24"/>
          <w:szCs w:val="24"/>
        </w:rPr>
      </w:pPr>
      <w:r>
        <w:rPr>
          <w:rFonts w:cs="Calibri" w:cstheme="minorHAnsi"/>
          <w:sz w:val="24"/>
          <w:szCs w:val="24"/>
        </w:rPr>
      </w:r>
    </w:p>
    <w:p>
      <w:pPr>
        <w:pStyle w:val="Normal"/>
        <w:jc w:val="center"/>
        <w:rPr>
          <w:rFonts w:ascii="Calibri" w:hAnsi="Calibri" w:cs="Calibri" w:asciiTheme="minorHAnsi" w:cstheme="minorHAnsi" w:hAnsiTheme="minorHAnsi"/>
          <w:b/>
          <w:b/>
          <w:sz w:val="24"/>
          <w:szCs w:val="24"/>
        </w:rPr>
      </w:pPr>
      <w:r>
        <w:rPr>
          <w:rFonts w:cs="Calibri" w:cstheme="minorHAnsi"/>
          <w:b/>
          <w:sz w:val="24"/>
          <w:szCs w:val="24"/>
        </w:rPr>
      </w:r>
    </w:p>
    <w:p>
      <w:pPr>
        <w:pStyle w:val="Normal"/>
        <w:spacing w:lineRule="auto" w:line="240" w:before="0" w:after="0"/>
        <w:jc w:val="center"/>
        <w:rPr>
          <w:rFonts w:ascii="Calibri" w:hAnsi="Calibri" w:cs="Calibri" w:asciiTheme="minorHAnsi" w:cstheme="minorHAnsi" w:hAnsiTheme="minorHAnsi"/>
          <w:b/>
          <w:b/>
          <w:sz w:val="24"/>
          <w:szCs w:val="24"/>
        </w:rPr>
      </w:pPr>
      <w:r>
        <w:rPr>
          <w:rFonts w:cs="Calibri" w:cstheme="minorHAnsi"/>
          <w:b/>
          <w:sz w:val="24"/>
          <w:szCs w:val="24"/>
        </w:rPr>
        <w:t>ΚΕΦΑΛΑΙΟ Δ</w:t>
      </w:r>
    </w:p>
    <w:p>
      <w:pPr>
        <w:pStyle w:val="Normal"/>
        <w:spacing w:lineRule="auto" w:line="240" w:before="0" w:after="0"/>
        <w:jc w:val="center"/>
        <w:rPr>
          <w:rFonts w:ascii="Calibri" w:hAnsi="Calibri" w:cs="Calibri" w:asciiTheme="minorHAnsi" w:cstheme="minorHAnsi" w:hAnsiTheme="minorHAnsi"/>
          <w:b/>
          <w:b/>
          <w:sz w:val="24"/>
          <w:szCs w:val="24"/>
        </w:rPr>
      </w:pPr>
      <w:r>
        <w:rPr>
          <w:rFonts w:cs="Calibri" w:cstheme="minorHAnsi"/>
          <w:b/>
          <w:sz w:val="24"/>
          <w:szCs w:val="24"/>
        </w:rPr>
        <w:t>Γενικές Διατάξεις</w:t>
      </w:r>
    </w:p>
    <w:p>
      <w:pPr>
        <w:pStyle w:val="Normal"/>
        <w:spacing w:lineRule="auto" w:line="240" w:before="0" w:after="0"/>
        <w:jc w:val="center"/>
        <w:rPr>
          <w:rFonts w:ascii="Calibri" w:hAnsi="Calibri" w:cs="Calibri" w:asciiTheme="minorHAnsi" w:cstheme="minorHAnsi" w:hAnsiTheme="minorHAnsi"/>
          <w:b/>
          <w:b/>
          <w:sz w:val="24"/>
          <w:szCs w:val="24"/>
        </w:rPr>
      </w:pPr>
      <w:r>
        <w:rPr>
          <w:rFonts w:cs="Calibri" w:cstheme="minorHAnsi"/>
          <w:b/>
          <w:sz w:val="24"/>
          <w:szCs w:val="24"/>
        </w:rPr>
        <w:t>Άρθρο 1</w:t>
      </w:r>
    </w:p>
    <w:p>
      <w:pPr>
        <w:pStyle w:val="Normal"/>
        <w:spacing w:lineRule="auto" w:line="240" w:before="0" w:after="0"/>
        <w:jc w:val="center"/>
        <w:rPr>
          <w:rFonts w:ascii="Calibri" w:hAnsi="Calibri" w:cs="Calibri" w:asciiTheme="minorHAnsi" w:cstheme="minorHAnsi" w:hAnsiTheme="minorHAnsi"/>
          <w:b/>
          <w:b/>
          <w:sz w:val="24"/>
          <w:szCs w:val="24"/>
        </w:rPr>
      </w:pPr>
      <w:r>
        <w:rPr>
          <w:rFonts w:cs="Calibri" w:cstheme="minorHAnsi"/>
          <w:b/>
          <w:sz w:val="24"/>
          <w:szCs w:val="24"/>
        </w:rPr>
      </w:r>
    </w:p>
    <w:p>
      <w:pPr>
        <w:pStyle w:val="ListParagraph"/>
        <w:numPr>
          <w:ilvl w:val="0"/>
          <w:numId w:val="2"/>
        </w:numPr>
        <w:spacing w:before="0" w:after="0"/>
        <w:ind w:left="0" w:hanging="0"/>
        <w:contextualSpacing/>
        <w:jc w:val="both"/>
        <w:rPr>
          <w:rFonts w:ascii="Calibri" w:hAnsi="Calibri" w:cs="Calibri" w:asciiTheme="minorHAnsi" w:cstheme="minorHAnsi" w:hAnsiTheme="minorHAnsi"/>
          <w:bCs/>
          <w:sz w:val="24"/>
          <w:szCs w:val="24"/>
        </w:rPr>
      </w:pPr>
      <w:r>
        <w:rPr>
          <w:rFonts w:cs="Calibri" w:cstheme="minorHAnsi"/>
          <w:bCs/>
          <w:sz w:val="24"/>
          <w:szCs w:val="24"/>
        </w:rPr>
        <w:t>Για τη διαδικασία καταβολής της αποζημίωσης ειδικού σκοπού όπως αυτή ορίζεται στην παρούσα, ορίζεται ως αρμόδιος φορέας το Υπουργείο Εργασίας και Κοινωνικών Υποθέσεων. Η παραπάνω καταβολή γίνεται εφάπαξ με πίστωση του τραπεζικού λογαριασμού του δικαιούχου - εργαζομένου, ο οποίος υποδεικνύεται στην υποβαλλόμενη αίτησή του. Από το ΠΣ ΕΡΓΑΝΗ εξάγεται σε ηλεκτρονική μορφή αναλυτική κατάσταση δικαιούχων - εργαζομένων, η οποία περιλαμβάνει τα πλήρη στοιχεία τους, τον αριθμό τραπεζικού λογαριασμού σε μορφή ΙΒΑΝ, το πιστωτικό Ίδρυμα στο οποίο τηρείται ο λογαριασμός, το ποσό της καταβολής και το ΑΦΜ τους.</w:t>
      </w:r>
    </w:p>
    <w:p>
      <w:pPr>
        <w:pStyle w:val="ListParagraph"/>
        <w:numPr>
          <w:ilvl w:val="0"/>
          <w:numId w:val="2"/>
        </w:numPr>
        <w:tabs>
          <w:tab w:val="clear" w:pos="720"/>
          <w:tab w:val="left" w:pos="284" w:leader="none"/>
        </w:tabs>
        <w:spacing w:before="0" w:after="0"/>
        <w:ind w:left="0" w:hanging="0"/>
        <w:contextualSpacing/>
        <w:jc w:val="both"/>
        <w:rPr>
          <w:rFonts w:ascii="Calibri" w:hAnsi="Calibri" w:cs="Calibri" w:asciiTheme="minorHAnsi" w:cstheme="minorHAnsi" w:hAnsiTheme="minorHAnsi"/>
          <w:bCs/>
          <w:sz w:val="24"/>
          <w:szCs w:val="24"/>
        </w:rPr>
      </w:pPr>
      <w:r>
        <w:rPr>
          <w:rFonts w:cs="Calibri" w:cstheme="minorHAnsi"/>
          <w:bCs/>
          <w:sz w:val="24"/>
          <w:szCs w:val="24"/>
        </w:rPr>
        <w:t xml:space="preserve">Η ηλεκτρονική μορφή της κατάστασης αυτής είναι επεξεργάσιμη από την εταιρεία «Διατραπεζικά συστήματα Α.Ε.» (ΔΙΑΣ Α.Ε.) προς την οποία διαβιβάζεται. Επίσης, διαβιβάζεται στη ΔΙΑΣ Α.Ε., στη Διεύθυνση Ένταξης στην Εργασία και στη Διεύθυνση Οικονομικής Διαχείρισης του Υπουργείου Εργασίας και Κοινωνικών Υποθέσεων συγκεντρωτική κατάσταση δικαιούχων εργαζόμενων σε έντυπη και ηλεκτρονική μορφή, που περιλαμβάνει και τον αριθμό των δικαιούχων εργαζομένων, το συνολικό ποσό της καταβολής ολογράφως και αριθμητικώς, ανά τράπεζα ή πιστωτικό ίδρυμα. Οι ανωτέρω καταστάσεις εγκρίνονται από τον αρμόδιο διατάκτη του Υπουργείου Εργασίας και Κοινωνικών Υποθέσεων, έπειτα από εισήγηση της Διεύθυνσης Ένταξης στην Εργασία. </w:t>
      </w:r>
    </w:p>
    <w:p>
      <w:pPr>
        <w:pStyle w:val="Normal"/>
        <w:spacing w:before="0" w:after="0"/>
        <w:jc w:val="both"/>
        <w:rPr>
          <w:rFonts w:ascii="Calibri" w:hAnsi="Calibri" w:cs="Calibri" w:asciiTheme="minorHAnsi" w:cstheme="minorHAnsi" w:hAnsiTheme="minorHAnsi"/>
          <w:bCs/>
          <w:sz w:val="24"/>
          <w:szCs w:val="24"/>
        </w:rPr>
      </w:pPr>
      <w:r>
        <w:rPr>
          <w:rFonts w:cs="Calibri" w:cstheme="minorHAnsi"/>
          <w:bCs/>
          <w:sz w:val="24"/>
          <w:szCs w:val="24"/>
        </w:rPr>
        <w:t xml:space="preserve">3. Με απόφαση του Υπουργού Εργασίας και Κοινωνικών Υποθέσεων </w:t>
      </w:r>
      <w:r>
        <w:rPr>
          <w:rFonts w:cs="Calibri" w:cstheme="minorHAnsi"/>
          <w:bCs/>
          <w:color w:val="000000" w:themeColor="text1"/>
          <w:sz w:val="24"/>
          <w:szCs w:val="24"/>
        </w:rPr>
        <w:t>εγκρίνεται</w:t>
      </w:r>
      <w:r>
        <w:rPr>
          <w:rFonts w:cs="Calibri" w:cstheme="minorHAnsi"/>
          <w:bCs/>
          <w:sz w:val="24"/>
          <w:szCs w:val="24"/>
        </w:rPr>
        <w:t xml:space="preserve"> η μεταφορά της πίστωσης του συνολικού ποσού αυτής μετά από εισήγηση της Διεύθυνσης Οικονομικής Διαχείρισης. </w:t>
      </w:r>
    </w:p>
    <w:p>
      <w:pPr>
        <w:pStyle w:val="Normal"/>
        <w:spacing w:before="0" w:after="0"/>
        <w:jc w:val="both"/>
        <w:rPr>
          <w:rFonts w:cs="Calibri" w:cstheme="minorHAnsi"/>
          <w:sz w:val="24"/>
          <w:szCs w:val="24"/>
        </w:rPr>
      </w:pPr>
      <w:r>
        <w:rPr>
          <w:rFonts w:cs="Calibri" w:cstheme="minorHAnsi"/>
          <w:bCs/>
          <w:sz w:val="24"/>
          <w:szCs w:val="24"/>
        </w:rPr>
        <w:t xml:space="preserve">4. </w:t>
      </w:r>
      <w:r>
        <w:rPr>
          <w:rFonts w:cs="Calibri" w:cstheme="minorHAnsi"/>
          <w:sz w:val="24"/>
          <w:szCs w:val="24"/>
        </w:rPr>
        <w:t>Η ανωτέρω έντυπη συγκεντρωτική κατάσταση αποστέλλεται μέσω της ΓΔΟΥ του Υπουργείου Εργασίας και Κοινωνικών Υποθέσεων στη Διεύθυνση Λογαριασμών και Ταμειακού Προγραμματισμού του Γενικού Λογιστηρίου του Κράτους (ΓΛΚ) η οποία εκδίδει, βάσει αυτής, εντολή προς την Τράπεζα της Ελλάδος για χρέωση του λογαριασμού του Ελληνικού Δημοσίου Νο 200 «Ελληνικό Δημόσιο - Συγκέντρωση Εισπράξεων - Πληρωμών», και την πίστωση του ενδιάμεσου λογαριασμού του Ελληνικού Δημοσίου με IBAN GR22 0100 0230 0000 0242 1220 698 με ονομασία «πληρωμές ΕΔ» με τη μεσολάβηση της ΔΙΑΣ ΑΕ που τηρείται στην Τράπεζα της Ελλάδος με:  α) το συνολικό ποσό ανά δικαιούχο –εργαζόμενο και β) με το ποσό που αφορά το ανά συναλλαγή κόστος προς τρίτους, σύμφωνα με την 109/12-3-2019 Πράξη του Διοικητή της Τράπεζας της Ελλάδος. Η Τράπεζα της Ελλάδος εξουσιοδοτείται για την κάλυψη του ανά συναλλαγή κόστους προς τρίτους. Οι πληρωμές που θα εκτελούνται έως και την 31-12-2020 διενεργούνται χωρίς επιβάρυνση για την Τράπεζα της Ελλάδος από την ΔΙΑΣ ΑΕ και χωρίς επιβάρυνση για το Ελληνικό Δημόσιο. Ύστερα από την έγκριση της Δ/νσης Λογαριασμών και Ταμ. Προγραμματισμού του ΓΛΚ, η οποία παρέχεται ηλεκτρονικά μέσω διαδικτυακής εφαρμογής, χρεώνεται ο λογαριασμός με IBAN GR22 0100 0230 0000 0242 1220 698, προκειμένου να διοδευθούν οι επιμέρους πληρωμές προς τους τραπεζικούς λογαριασμούς των τελικών δικαιούχων.</w:t>
      </w:r>
    </w:p>
    <w:p>
      <w:pPr>
        <w:pStyle w:val="Normal"/>
        <w:spacing w:before="0" w:after="0"/>
        <w:jc w:val="both"/>
        <w:rPr>
          <w:rFonts w:cs="Calibri" w:cstheme="minorHAnsi"/>
          <w:sz w:val="24"/>
          <w:szCs w:val="24"/>
        </w:rPr>
      </w:pPr>
      <w:r>
        <w:rPr>
          <w:rFonts w:cs="Calibri" w:cstheme="minorHAnsi"/>
          <w:sz w:val="24"/>
          <w:szCs w:val="24"/>
        </w:rPr>
        <w:t xml:space="preserve">Η ανωτέρω εντολή κοινοποιείται στη Διεύθυνση Προϋπολογισμού και Δημοσιονομικών Αναφορών και στη Διεύθυνση Οικονομικής Διαχείρισης, της Γενικής Διεύθυνσης Οικονομικών Υπηρεσιών του Υπουργείου Εργασίας και Κοινωνικών Υποθέσεων και στη ΔΙΑΣ ΑΕ. </w:t>
      </w:r>
    </w:p>
    <w:p>
      <w:pPr>
        <w:pStyle w:val="Normal"/>
        <w:spacing w:before="0" w:after="0"/>
        <w:jc w:val="both"/>
        <w:rPr>
          <w:rFonts w:ascii="Calibri" w:hAnsi="Calibri" w:cs="Calibri" w:asciiTheme="minorHAnsi" w:cstheme="minorHAnsi" w:hAnsiTheme="minorHAnsi"/>
          <w:bCs/>
          <w:sz w:val="24"/>
          <w:szCs w:val="24"/>
        </w:rPr>
      </w:pPr>
      <w:r>
        <w:rPr>
          <w:rFonts w:cs="Calibri" w:cstheme="minorHAnsi"/>
          <w:bCs/>
          <w:sz w:val="24"/>
          <w:szCs w:val="24"/>
        </w:rPr>
        <w:t xml:space="preserve">5. Τα ποσά που απέτυχαν να πληρωθούν επιστρέφουν στο λογαριασμό του Ελληνικού Δημοσίου με ΙΒΑΝ: </w:t>
      </w:r>
      <w:r>
        <w:rPr>
          <w:rFonts w:cs="Calibri" w:cstheme="minorHAnsi"/>
          <w:bCs/>
          <w:sz w:val="24"/>
          <w:szCs w:val="24"/>
          <w:lang w:val="en-US"/>
        </w:rPr>
        <w:t>GR</w:t>
      </w:r>
      <w:r>
        <w:rPr>
          <w:rFonts w:cs="Calibri" w:cstheme="minorHAnsi"/>
          <w:bCs/>
          <w:sz w:val="24"/>
          <w:szCs w:val="24"/>
        </w:rPr>
        <w:t>7101000230000000000200211 με αιτιολογία κίνησης τον ειδικό κωδικό πληρωμής της ΔΙΑΣ ΑΕ και λογιστικοποιούνται στα έσοδα του προϋπολογισμού. Για τις αποτυχούσες πληρωμές η ΔΙΑΣ ΑΕ ενημερώνει το Υπουργείο Εργασίας και Κοινωνικών Υποθέσεων και το ΠΣ ΕΡΓΑΝΗ προκειμένου να συμπεριληφθούν στην επόμενη πληρωμή.</w:t>
      </w:r>
    </w:p>
    <w:p>
      <w:pPr>
        <w:pStyle w:val="Normal"/>
        <w:spacing w:before="0" w:after="0"/>
        <w:jc w:val="both"/>
        <w:rPr>
          <w:rFonts w:ascii="Calibri" w:hAnsi="Calibri" w:cs="Calibri" w:asciiTheme="minorHAnsi" w:cstheme="minorHAnsi" w:hAnsiTheme="minorHAnsi"/>
          <w:bCs/>
          <w:sz w:val="24"/>
          <w:szCs w:val="24"/>
        </w:rPr>
      </w:pPr>
      <w:r>
        <w:rPr>
          <w:rFonts w:cs="Calibri" w:cstheme="minorHAnsi"/>
          <w:bCs/>
          <w:sz w:val="24"/>
          <w:szCs w:val="24"/>
        </w:rPr>
        <w:t xml:space="preserve">6. Για την πληρωμή αποζημίωσης ειδικού σκοπού, η ειδική εντολή πληρωμής της παρ.  4  του παρόντος άρθρου επέχει θέση απόφασης ανάληψης υποχρέωσης. </w:t>
      </w:r>
    </w:p>
    <w:p>
      <w:pPr>
        <w:pStyle w:val="Normal"/>
        <w:spacing w:before="0" w:after="0"/>
        <w:jc w:val="both"/>
        <w:rPr>
          <w:rFonts w:ascii="Calibri" w:hAnsi="Calibri" w:cs="Calibri" w:asciiTheme="minorHAnsi" w:cstheme="minorHAnsi" w:hAnsiTheme="minorHAnsi"/>
          <w:bCs/>
          <w:sz w:val="24"/>
          <w:szCs w:val="24"/>
        </w:rPr>
      </w:pPr>
      <w:r>
        <w:rPr>
          <w:rFonts w:cs="Calibri" w:cstheme="minorHAnsi"/>
          <w:bCs/>
          <w:sz w:val="24"/>
          <w:szCs w:val="24"/>
        </w:rPr>
        <w:t xml:space="preserve">7. Η εμφάνιση των σχετικών πληρωμών στη δημόσια ληψοδοσία, πραγματοποιείται με την έκδοση συμψηφιστικών χρηματικών ενταλμάτων από τη Διεύθυνση Οικονομικής Διαχείρισης της Γενικής Διεύθυνσης Οικονομικών Υπηρεσιών του Υπουργείου Εργασίας και Κοινωνικών Υποθέσεων. </w:t>
      </w:r>
    </w:p>
    <w:p>
      <w:pPr>
        <w:pStyle w:val="Normal"/>
        <w:spacing w:before="0" w:after="0"/>
        <w:jc w:val="both"/>
        <w:rPr>
          <w:rFonts w:ascii="Calibri" w:hAnsi="Calibri" w:cs="Calibri" w:asciiTheme="minorHAnsi" w:cstheme="minorHAnsi" w:hAnsiTheme="minorHAnsi"/>
          <w:bCs/>
          <w:sz w:val="24"/>
          <w:szCs w:val="24"/>
        </w:rPr>
      </w:pPr>
      <w:r>
        <w:rPr>
          <w:rFonts w:cs="Calibri" w:cstheme="minorHAnsi"/>
          <w:bCs/>
          <w:sz w:val="24"/>
          <w:szCs w:val="24"/>
        </w:rPr>
        <w:t xml:space="preserve">8. Η Διεύθυνση Λογαριασμών και Ταμειακού Προγραμματισμού, οι συμβαλλόμενες τράπεζες και τα λοιπά πιστωτικά ιδρύματα δεν θεωρούνται δημόσιοι υπόλογοι και ευθύνονται μόνο για τυχόν λάθη από δική τους υπαιτιότητα. </w:t>
      </w:r>
    </w:p>
    <w:p>
      <w:pPr>
        <w:pStyle w:val="Normal"/>
        <w:spacing w:before="0" w:after="0"/>
        <w:jc w:val="both"/>
        <w:rPr>
          <w:rFonts w:cs="Calibri" w:cstheme="minorHAnsi"/>
          <w:sz w:val="24"/>
          <w:szCs w:val="24"/>
        </w:rPr>
      </w:pPr>
      <w:r>
        <w:rPr>
          <w:rFonts w:cs="Calibri" w:cstheme="minorHAnsi"/>
          <w:sz w:val="24"/>
          <w:szCs w:val="24"/>
        </w:rPr>
        <w:t>9. Δικαιολογητικά για την έκδοση των σχετικών χρηματικών ενταλμάτων ορίζονται τα ακόλουθα:</w:t>
      </w:r>
    </w:p>
    <w:p>
      <w:pPr>
        <w:pStyle w:val="Normal"/>
        <w:spacing w:before="0" w:after="0"/>
        <w:jc w:val="both"/>
        <w:rPr>
          <w:rFonts w:cs="Calibri" w:cstheme="minorHAnsi"/>
          <w:sz w:val="24"/>
          <w:szCs w:val="24"/>
        </w:rPr>
      </w:pPr>
      <w:r>
        <w:rPr>
          <w:rFonts w:cs="Calibri" w:cstheme="minorHAnsi"/>
          <w:sz w:val="24"/>
          <w:szCs w:val="24"/>
        </w:rPr>
        <w:t>α) Η απόφαση του Υπουργείου Εργασίας και Κοινωνικών Υποθέσεων για την έκδοση του συμψηφιστικού χρηματικού εντάλματος.</w:t>
      </w:r>
    </w:p>
    <w:p>
      <w:pPr>
        <w:pStyle w:val="Normal"/>
        <w:spacing w:before="0" w:after="0"/>
        <w:jc w:val="both"/>
        <w:rPr>
          <w:rFonts w:cs="Calibri" w:cstheme="minorHAnsi"/>
          <w:sz w:val="24"/>
          <w:szCs w:val="24"/>
        </w:rPr>
      </w:pPr>
      <w:r>
        <w:rPr>
          <w:rFonts w:cs="Calibri" w:cstheme="minorHAnsi"/>
          <w:sz w:val="24"/>
          <w:szCs w:val="24"/>
        </w:rPr>
        <w:t>β) Η συγκεντρωτική κατάσταση της παρ. 2 του παρόντος άρθρου.</w:t>
      </w:r>
    </w:p>
    <w:p>
      <w:pPr>
        <w:pStyle w:val="Normal"/>
        <w:spacing w:before="0" w:after="0"/>
        <w:jc w:val="both"/>
        <w:rPr>
          <w:rFonts w:cs="Calibri" w:cstheme="minorHAnsi"/>
          <w:sz w:val="24"/>
          <w:szCs w:val="24"/>
        </w:rPr>
      </w:pPr>
      <w:r>
        <w:rPr>
          <w:rFonts w:cs="Calibri" w:cstheme="minorHAnsi"/>
          <w:sz w:val="24"/>
          <w:szCs w:val="24"/>
        </w:rPr>
        <w:t xml:space="preserve">γ) Αντίγραφο της εντολής προς την Τράπεζα της Ελλάδος και αντίγραφο κίνησης (extrait) της Τράπεζας της Ελλάδος για τη χρέωση του λογαριασμού Νο 200.   </w:t>
      </w:r>
    </w:p>
    <w:p>
      <w:pPr>
        <w:pStyle w:val="Normal"/>
        <w:spacing w:before="0" w:after="0"/>
        <w:jc w:val="both"/>
        <w:rPr>
          <w:rFonts w:ascii="Calibri" w:hAnsi="Calibri" w:cs="Calibri" w:asciiTheme="minorHAnsi" w:cstheme="minorHAnsi" w:hAnsiTheme="minorHAnsi"/>
          <w:b/>
          <w:b/>
          <w:bCs/>
          <w:sz w:val="24"/>
          <w:szCs w:val="24"/>
        </w:rPr>
      </w:pPr>
      <w:r>
        <w:rPr>
          <w:rFonts w:cs="Calibri" w:cstheme="minorHAnsi"/>
          <w:b/>
          <w:bCs/>
          <w:sz w:val="24"/>
          <w:szCs w:val="24"/>
        </w:rPr>
      </w:r>
    </w:p>
    <w:p>
      <w:pPr>
        <w:pStyle w:val="Normal"/>
        <w:spacing w:before="0" w:after="0"/>
        <w:jc w:val="center"/>
        <w:rPr>
          <w:rFonts w:ascii="Calibri" w:hAnsi="Calibri" w:cs="Calibri" w:asciiTheme="minorHAnsi" w:cstheme="minorHAnsi" w:hAnsiTheme="minorHAnsi"/>
          <w:b/>
          <w:b/>
          <w:bCs/>
          <w:sz w:val="24"/>
          <w:szCs w:val="24"/>
        </w:rPr>
      </w:pPr>
      <w:r>
        <w:rPr>
          <w:rFonts w:cs="Calibri" w:cstheme="minorHAnsi"/>
          <w:b/>
          <w:bCs/>
          <w:sz w:val="24"/>
          <w:szCs w:val="24"/>
        </w:rPr>
        <w:t>Άρθρο 2</w:t>
      </w:r>
    </w:p>
    <w:p>
      <w:pPr>
        <w:pStyle w:val="Normal"/>
        <w:jc w:val="center"/>
        <w:rPr>
          <w:rFonts w:ascii="Calibri" w:hAnsi="Calibri" w:cs="Calibri" w:asciiTheme="minorHAnsi" w:cstheme="minorHAnsi" w:hAnsiTheme="minorHAnsi"/>
          <w:b/>
          <w:b/>
          <w:bCs/>
          <w:sz w:val="24"/>
          <w:szCs w:val="24"/>
        </w:rPr>
      </w:pPr>
      <w:r>
        <w:rPr>
          <w:rFonts w:cs="Calibri" w:cstheme="minorHAnsi"/>
          <w:b/>
          <w:bCs/>
          <w:sz w:val="24"/>
          <w:szCs w:val="24"/>
        </w:rPr>
        <w:t>Αχρεωστήτως καταβληθέντα - αναδρομικότητα και συμψηφισμός πληρωμών</w:t>
      </w:r>
    </w:p>
    <w:p>
      <w:pPr>
        <w:pStyle w:val="Normal"/>
        <w:spacing w:before="0" w:after="0"/>
        <w:jc w:val="both"/>
        <w:rPr>
          <w:rFonts w:ascii="Calibri" w:hAnsi="Calibri" w:cs="Calibri" w:asciiTheme="minorHAnsi" w:cstheme="minorHAnsi" w:hAnsiTheme="minorHAnsi"/>
          <w:bCs/>
          <w:sz w:val="24"/>
          <w:szCs w:val="24"/>
        </w:rPr>
      </w:pPr>
      <w:r>
        <w:rPr>
          <w:rFonts w:cs="Calibri" w:cstheme="minorHAnsi"/>
          <w:bCs/>
          <w:sz w:val="24"/>
          <w:szCs w:val="24"/>
        </w:rPr>
        <w:t>1. Με την επιφύλαξη τυχόν προστίμων που προβλέπονται από άλλες διατάξεις στα φυσικά πρόσωπα που δηλώνουν ψευδή στοιχεία στην αίτησή τους, επιβάλλονται οι κυρώσεις που προβλέπονται από την κείμενη νομοθεσία σε περίπτωση υποβολής ψευδούς δηλώσεως.</w:t>
      </w:r>
    </w:p>
    <w:p>
      <w:pPr>
        <w:pStyle w:val="Normal"/>
        <w:spacing w:before="0" w:after="0"/>
        <w:jc w:val="both"/>
        <w:rPr>
          <w:rFonts w:ascii="Calibri" w:hAnsi="Calibri" w:cs="Calibri" w:asciiTheme="minorHAnsi" w:cstheme="minorHAnsi" w:hAnsiTheme="minorHAnsi"/>
          <w:bCs/>
          <w:sz w:val="24"/>
          <w:szCs w:val="24"/>
        </w:rPr>
      </w:pPr>
      <w:r>
        <w:rPr>
          <w:rFonts w:cs="Calibri" w:cstheme="minorHAnsi"/>
          <w:bCs/>
          <w:sz w:val="24"/>
          <w:szCs w:val="24"/>
        </w:rPr>
        <w:t xml:space="preserve">2. Τυχόν αχρεωστήτως καταβληθέντα ποσά καταλογίζονται σε βάρος του ανοικείως λαβόντος, με απόφαση του Υπουργού Εργασίας και Κοινωνικών Υποθέσεων ή του νομίμως εξουσιοδοτημένου από αυτόν οργάνου και εισπράττονται κατά τις διατάξεις του ΚΕΔΕ. </w:t>
      </w:r>
    </w:p>
    <w:p>
      <w:pPr>
        <w:pStyle w:val="Normal"/>
        <w:jc w:val="both"/>
        <w:rPr>
          <w:rFonts w:ascii="Calibri" w:hAnsi="Calibri" w:cs="Calibri" w:asciiTheme="minorHAnsi" w:cstheme="minorHAnsi" w:hAnsiTheme="minorHAnsi"/>
          <w:bCs/>
          <w:sz w:val="24"/>
          <w:szCs w:val="24"/>
        </w:rPr>
      </w:pPr>
      <w:r>
        <w:rPr>
          <w:rFonts w:cs="Calibri" w:cstheme="minorHAnsi"/>
          <w:bCs/>
          <w:sz w:val="24"/>
          <w:szCs w:val="24"/>
        </w:rPr>
        <w:t>Η ισχύς της παρούσας άρχεται την 1</w:t>
      </w:r>
      <w:r>
        <w:rPr>
          <w:rFonts w:cs="Calibri" w:cstheme="minorHAnsi"/>
          <w:bCs/>
          <w:sz w:val="24"/>
          <w:szCs w:val="24"/>
          <w:vertAlign w:val="superscript"/>
        </w:rPr>
        <w:t>η</w:t>
      </w:r>
      <w:r>
        <w:rPr>
          <w:rFonts w:cs="Calibri" w:cstheme="minorHAnsi"/>
          <w:bCs/>
          <w:sz w:val="24"/>
          <w:szCs w:val="24"/>
        </w:rPr>
        <w:t xml:space="preserve"> Δεκεμβρίου  2020. </w:t>
      </w:r>
    </w:p>
    <w:p>
      <w:pPr>
        <w:pStyle w:val="Normal"/>
        <w:jc w:val="both"/>
        <w:rPr>
          <w:rFonts w:ascii="Calibri" w:hAnsi="Calibri" w:cs="Calibri" w:asciiTheme="minorHAnsi" w:cstheme="minorHAnsi" w:hAnsiTheme="minorHAnsi"/>
          <w:bCs/>
          <w:sz w:val="24"/>
          <w:szCs w:val="24"/>
        </w:rPr>
      </w:pPr>
      <w:r>
        <w:rPr>
          <w:rFonts w:cs="Calibri" w:cstheme="minorHAnsi"/>
          <w:bCs/>
          <w:sz w:val="24"/>
          <w:szCs w:val="24"/>
        </w:rPr>
      </w:r>
    </w:p>
    <w:p>
      <w:pPr>
        <w:pStyle w:val="Normal"/>
        <w:spacing w:before="0" w:after="0"/>
        <w:jc w:val="center"/>
        <w:rPr>
          <w:rFonts w:ascii="Calibri" w:hAnsi="Calibri" w:cs="Calibri" w:asciiTheme="minorHAnsi" w:cstheme="minorHAnsi" w:hAnsiTheme="minorHAnsi"/>
          <w:b/>
          <w:b/>
          <w:sz w:val="20"/>
          <w:szCs w:val="20"/>
        </w:rPr>
      </w:pPr>
      <w:r>
        <w:rPr>
          <w:rFonts w:cs="Calibri" w:cstheme="minorHAnsi"/>
          <w:b/>
          <w:sz w:val="20"/>
          <w:szCs w:val="20"/>
        </w:rPr>
        <w:t xml:space="preserve">ΠΑΡΑΡΤΗΜΑ Α’  ΠΙΝΑΚΑΣ ΚΩΔΙΚΩΝ ΑΡΙΘΜΩΝ ΔΡΑΣΤΗΡΙΟΤΗΤΑΣ ΠΟΥ ΑΝΑΣΤΕΛΛΕΤΑΙ Η ΛΕΙΤΟΥΡΓΙΑ ΤΟΥΣ ΣΕ ΟΛΗ ΤΗΝ ΕΠΙΚΡΑΤΕΙΑ  </w:t>
      </w:r>
    </w:p>
    <w:p>
      <w:pPr>
        <w:pStyle w:val="Normal"/>
        <w:spacing w:before="0" w:after="0"/>
        <w:jc w:val="center"/>
        <w:rPr>
          <w:rFonts w:ascii="Calibri" w:hAnsi="Calibri" w:cs="Calibri" w:asciiTheme="minorHAnsi" w:cstheme="minorHAnsi" w:hAnsiTheme="minorHAnsi"/>
          <w:b/>
          <w:b/>
          <w:sz w:val="20"/>
          <w:szCs w:val="20"/>
        </w:rPr>
      </w:pPr>
      <w:r>
        <w:rPr>
          <w:rFonts w:cs="Calibri" w:cstheme="minorHAnsi"/>
          <w:b/>
          <w:sz w:val="20"/>
          <w:szCs w:val="20"/>
        </w:rPr>
        <w:t>(από 1/12/2020 έως 14/12/2020)</w:t>
      </w:r>
    </w:p>
    <w:p>
      <w:pPr>
        <w:pStyle w:val="Normal"/>
        <w:spacing w:before="0" w:after="0"/>
        <w:jc w:val="center"/>
        <w:rPr>
          <w:rFonts w:ascii="Calibri" w:hAnsi="Calibri" w:cs="Calibri" w:asciiTheme="minorHAnsi" w:cstheme="minorHAnsi" w:hAnsiTheme="minorHAnsi"/>
          <w:b/>
          <w:b/>
          <w:sz w:val="20"/>
          <w:szCs w:val="20"/>
        </w:rPr>
      </w:pPr>
      <w:r>
        <w:rPr>
          <w:rFonts w:cs="Calibri" w:cstheme="minorHAnsi"/>
          <w:b/>
          <w:sz w:val="20"/>
          <w:szCs w:val="20"/>
        </w:rPr>
      </w:r>
    </w:p>
    <w:p>
      <w:pPr>
        <w:pStyle w:val="Normal"/>
        <w:jc w:val="both"/>
        <w:rPr/>
      </w:pPr>
      <w:r>
        <w:rPr/>
        <w:t xml:space="preserve">Παρατίθεται πίνακας με τον Κωδικό Αριθμό Δραστηριότητας (ΚΑΔ) των δραστηριοτήτων που αναστέλλονται. Δεν απαγορεύεται η διενέργεια εργασιών χωρίς την παρουσία κοινού στις ιδιωτικές επιχειρήσεις που περιλαμβάνονται στους ΚΑΔ του κατωτέρω Πίνακα. Επιχειρήσεις που έχουν πολλαπλές δραστηριότητες συνεχίζουν τη λειτουργία τους ως προς δραστηριότητες που δεν καταλαμβάνονται από τους ΚΑΔ του παρακάτω Πίνακα. Σε περίπτωση τετραψήφιου ΚΑΔ συμπεριλαμβάνονται όλες οι υποκατηγορίες πενταψήφιων, εξαψήφιων και οκταψήφιων. Σε περίπτωση πενταψήφιου συμπεριλαμβάνονται όλες οι κατηγορίες εξαψήφιων και οκταψήφιων. Σε περίπτωση εξαψήφιου συμπεριλαμβάνονται όλες οι κατηγορίες οκταψήφιων. </w:t>
      </w:r>
    </w:p>
    <w:tbl>
      <w:tblPr>
        <w:tblW w:w="9513" w:type="dxa"/>
        <w:jc w:val="left"/>
        <w:tblInd w:w="-590" w:type="dxa"/>
        <w:tblLayout w:type="fixed"/>
        <w:tblCellMar>
          <w:top w:w="0" w:type="dxa"/>
          <w:left w:w="108" w:type="dxa"/>
          <w:bottom w:w="0" w:type="dxa"/>
          <w:right w:w="108" w:type="dxa"/>
        </w:tblCellMar>
        <w:tblLook w:val="04a0"/>
      </w:tblPr>
      <w:tblGrid>
        <w:gridCol w:w="1178"/>
        <w:gridCol w:w="8334"/>
      </w:tblGrid>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cs="Calibri"/>
                <w:b/>
                <w:b/>
                <w:bCs/>
                <w:color w:val="000000"/>
              </w:rPr>
            </w:pPr>
            <w:r>
              <w:rPr>
                <w:rFonts w:cs="Calibri"/>
                <w:b/>
                <w:bCs/>
                <w:color w:val="000000"/>
              </w:rPr>
              <w:t>ΚΑΔ</w:t>
            </w:r>
          </w:p>
        </w:tc>
        <w:tc>
          <w:tcPr>
            <w:tcW w:w="833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cs="Calibri"/>
                <w:b/>
                <w:b/>
                <w:bCs/>
                <w:color w:val="000000"/>
              </w:rPr>
            </w:pPr>
            <w:r>
              <w:rPr>
                <w:rFonts w:cs="Calibri"/>
                <w:b/>
                <w:bCs/>
                <w:color w:val="000000"/>
              </w:rPr>
              <w:t>ΚΛΑΔΟΣ</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47.19</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cs="Calibri" w:cstheme="minorHAnsi"/>
                <w:color w:val="000000"/>
                <w:sz w:val="20"/>
                <w:szCs w:val="20"/>
              </w:rPr>
            </w:pPr>
            <w:r>
              <w:rPr>
                <w:rFonts w:cs="Calibri" w:cstheme="minorHAnsi"/>
                <w:color w:val="000000"/>
                <w:sz w:val="20"/>
                <w:szCs w:val="20"/>
              </w:rPr>
              <w:t xml:space="preserve">Άλλο λιανικό εμπόριο σε μη εξειδικευμένα καταστήματα, εκτός από Εκμετάλλευση καταστήματος ψιλικών ειδών γενικά (47.19.10.01), Εκμετάλλευση περίπτερου (47.19.10.02), καθώς και τις υπηρεσίες ηλεκτρονικού ή τηλεφωνικού εμπορίου με παράδοση κατ΄ οίκον (e-shop κτλ.)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47.41</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cs="Calibri" w:cstheme="minorHAnsi"/>
                <w:color w:val="000000"/>
                <w:sz w:val="20"/>
                <w:szCs w:val="20"/>
              </w:rPr>
            </w:pPr>
            <w:r>
              <w:rPr>
                <w:rFonts w:cs="Calibri" w:cstheme="minorHAnsi"/>
                <w:color w:val="000000"/>
                <w:sz w:val="20"/>
                <w:szCs w:val="20"/>
              </w:rPr>
              <w:t>Λιανικό εμπόριο ηλεκτρονικών υπολογιστών, περιφερειακών μονάδων υπολογιστών και λογισμικού σε εξειδικευμένα καταστήματα, με εξαίρεση τις υπηρεσίες</w:t>
            </w:r>
          </w:p>
          <w:p>
            <w:pPr>
              <w:pStyle w:val="Normal"/>
              <w:widowControl w:val="false"/>
              <w:spacing w:lineRule="auto" w:line="240" w:before="0" w:after="0"/>
              <w:jc w:val="both"/>
              <w:rPr>
                <w:rFonts w:cs="Calibri" w:cstheme="minorHAnsi"/>
                <w:color w:val="000000"/>
                <w:sz w:val="20"/>
                <w:szCs w:val="20"/>
              </w:rPr>
            </w:pPr>
            <w:r>
              <w:rPr>
                <w:rFonts w:cs="Calibri" w:cstheme="minorHAnsi"/>
                <w:color w:val="000000"/>
                <w:sz w:val="20"/>
                <w:szCs w:val="20"/>
              </w:rPr>
              <w:t xml:space="preserve">ηλεκτρονικού ή τηλεφωνικού εμπορίου με παράδοση κατ΄ οίκον (e-shop κτλ.)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47.42</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cs="Calibri" w:cstheme="minorHAnsi"/>
                <w:color w:val="000000"/>
                <w:sz w:val="20"/>
                <w:szCs w:val="20"/>
              </w:rPr>
            </w:pPr>
            <w:r>
              <w:rPr>
                <w:rFonts w:cs="Calibri" w:cstheme="minorHAnsi"/>
                <w:color w:val="000000"/>
                <w:sz w:val="20"/>
                <w:szCs w:val="20"/>
              </w:rPr>
              <w:t>Λιανικό εμπόριο τηλεπικοινωνιακού εξοπλισμού σε εξειδικευμένα καταστήματα, με εξαίρεση τις υπηρεσίες ηλεκτρονικού ή τηλεφωνικού εμπορίου με παράδοση κατ΄ οίκον (e-shop κτλ.), καθώς και τις υπηρεσίες πληρωμής λογαριασμών, ανανέωσης υπολοίπου, επισκευής και</w:t>
            </w:r>
          </w:p>
          <w:p>
            <w:pPr>
              <w:pStyle w:val="Normal"/>
              <w:widowControl w:val="false"/>
              <w:spacing w:lineRule="auto" w:line="240" w:before="0" w:after="0"/>
              <w:jc w:val="both"/>
              <w:rPr>
                <w:rFonts w:cs="Calibri" w:cstheme="minorHAnsi"/>
                <w:color w:val="000000"/>
                <w:sz w:val="20"/>
                <w:szCs w:val="20"/>
              </w:rPr>
            </w:pPr>
            <w:r>
              <w:rPr>
                <w:rFonts w:cs="Calibri" w:cstheme="minorHAnsi"/>
                <w:color w:val="000000"/>
                <w:sz w:val="20"/>
                <w:szCs w:val="20"/>
              </w:rPr>
              <w:t xml:space="preserve">αντικατάστασης κινητών συσκευών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47.43</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cs="Calibri" w:cstheme="minorHAnsi"/>
                <w:color w:val="000000"/>
                <w:sz w:val="20"/>
                <w:szCs w:val="20"/>
              </w:rPr>
            </w:pPr>
            <w:r>
              <w:rPr>
                <w:rFonts w:cs="Calibri" w:cstheme="minorHAnsi"/>
                <w:color w:val="000000"/>
                <w:sz w:val="20"/>
                <w:szCs w:val="20"/>
              </w:rPr>
              <w:t xml:space="preserve">Λιανικό εμπόριο εξοπλισμού ήχου και εικόνας σε εξειδικευμένα καταστήματα, με εξαίρεση τις υπηρεσίες ηλεκτρονικού ή τηλεφωνικού εμπορίου με παράδοση κατ΄ οίκον (e-shop κτλ.)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47.51</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cs="Calibri" w:cstheme="minorHAnsi"/>
                <w:sz w:val="20"/>
                <w:szCs w:val="20"/>
              </w:rPr>
            </w:pPr>
            <w:r>
              <w:rPr>
                <w:rFonts w:cs="Calibri" w:cstheme="minorHAnsi"/>
                <w:sz w:val="20"/>
                <w:szCs w:val="20"/>
              </w:rPr>
              <w:t xml:space="preserve">Λιανικό εμπόριο κλωστοϋφαντουργικών προϊόντων σε εξειδικευμένα καταστήματα, με εξαίρεση τις υπηρεσίες ηλεκτρονικού ή τηλεφωνικού εμπορίου με παράδοση κατ΄ οίκον (e-shop κτλ.)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47.52</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cs="Calibri" w:cstheme="minorHAnsi"/>
                <w:sz w:val="20"/>
                <w:szCs w:val="20"/>
              </w:rPr>
            </w:pPr>
            <w:r>
              <w:rPr>
                <w:rFonts w:cs="Calibri" w:cstheme="minorHAnsi"/>
                <w:sz w:val="20"/>
                <w:szCs w:val="20"/>
              </w:rPr>
              <w:t xml:space="preserve">Λιανικό εμπόριο σιδηρικών, χρωμάτων και τζαμιών σε εξειδικευμένα καταστήματα, με εξαίρεση τις υπηρεσίες ηλεκτρονικού ή τηλεφωνικού εμπορίου με παράδοση κατ΄ οίκον (e-shop κτλ.) [εξαιρουμένων των Περιφερειακών Ενοτήτων Σάμου και Καρδίτσας, καθώς και των Δήμων Χερσονήσου και Μίνωα Πεδιάδας της Περιφερειακής Ενότητας Ηρακλείου Κρήτης]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47.53</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cs="Calibri" w:cstheme="minorHAnsi"/>
                <w:sz w:val="20"/>
                <w:szCs w:val="20"/>
              </w:rPr>
            </w:pPr>
            <w:r>
              <w:rPr>
                <w:rFonts w:cs="Calibri" w:cstheme="minorHAnsi"/>
                <w:sz w:val="20"/>
                <w:szCs w:val="20"/>
              </w:rPr>
              <w:t xml:space="preserve">Λιανικό εμπόριο χαλιών, κιλιμιών και επενδύσεων δαπέδου και τοίχου σε εξειδικευμένα καταστήματα, με εξαίρεση τις υπηρεσίες ηλεκτρονικού ή τηλεφωνικού εμπορίου με παράδοση κατ΄ οίκον (e-shop κτλ.)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47.54</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cs="Calibri" w:cstheme="minorHAnsi"/>
                <w:sz w:val="20"/>
                <w:szCs w:val="20"/>
              </w:rPr>
            </w:pPr>
            <w:r>
              <w:rPr>
                <w:rFonts w:cs="Calibri" w:cstheme="minorHAnsi"/>
                <w:sz w:val="20"/>
                <w:szCs w:val="20"/>
              </w:rPr>
              <w:t xml:space="preserve">Λιανικό εμπόριο ηλεκτρικών οικιακών συσκευών σε εξειδικευμένα καταστήματα, με εξαίρεση τις υπηρεσίες ηλεκτρονικού ή τηλεφωνικού εμπορίου με παράδοση κατ΄ οίκον (e-shop κτλ.)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47.59</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both"/>
              <w:rPr>
                <w:rFonts w:cs="Calibri" w:cstheme="minorHAnsi"/>
                <w:sz w:val="20"/>
                <w:szCs w:val="20"/>
              </w:rPr>
            </w:pPr>
            <w:r>
              <w:rPr>
                <w:rFonts w:cs="Calibri" w:cstheme="minorHAnsi"/>
                <w:sz w:val="20"/>
                <w:szCs w:val="20"/>
              </w:rPr>
              <w:t xml:space="preserve">Λιανικό εμπόριο επίπλων, φωτιστικών και άλλων ειδών οικιακής χρήσης σε εξειδικευμένα καταστήματα, με εξαίρεση τις υπηρεσίες ηλεκτρονικού ή τηλεφωνικού εμπορίου με παράδοση κατ΄ οίκον (e-shop κτλ.). </w:t>
            </w:r>
            <w:r>
              <w:rPr>
                <w:rFonts w:cs="Calibri" w:cstheme="minorHAnsi"/>
                <w:b/>
                <w:sz w:val="20"/>
                <w:szCs w:val="20"/>
              </w:rPr>
              <w:t>Ο</w:t>
            </w:r>
            <w:r>
              <w:rPr>
                <w:rFonts w:cs="Calibri" w:cstheme="minorHAnsi"/>
                <w:sz w:val="20"/>
                <w:szCs w:val="20"/>
              </w:rPr>
              <w:t xml:space="preserve"> </w:t>
            </w:r>
            <w:r>
              <w:rPr>
                <w:rFonts w:cs="Calibri" w:cstheme="minorHAnsi"/>
                <w:b/>
                <w:sz w:val="20"/>
                <w:szCs w:val="20"/>
              </w:rPr>
              <w:t xml:space="preserve">ΚΑΔ Λιανικό εμπόριο φωτιστικών διατάξεων των τύπων που χρησιμοποιούνται στα χριστουγεννιάτικα δέντρα (47.59.56.16) επαναλειτουργεί από </w:t>
            </w:r>
            <w:r>
              <w:rPr>
                <w:rFonts w:cs="Calibri" w:cstheme="minorHAnsi"/>
                <w:b/>
                <w:sz w:val="20"/>
                <w:szCs w:val="20"/>
                <w:u w:val="single"/>
              </w:rPr>
              <w:t>7/12/2020.</w:t>
            </w:r>
            <w:r>
              <w:rPr>
                <w:rFonts w:cs="Calibri" w:cstheme="minorHAnsi"/>
                <w:b/>
                <w:sz w:val="20"/>
                <w:szCs w:val="20"/>
              </w:rPr>
              <w:t xml:space="preserve">                                                                         </w:t>
            </w:r>
            <w:r>
              <w:rPr>
                <w:rFonts w:cs="Calibri" w:cstheme="minorHAnsi"/>
                <w:sz w:val="20"/>
                <w:szCs w:val="20"/>
              </w:rPr>
              <w:t xml:space="preserve">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47.61</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cs="Calibri" w:cstheme="minorHAnsi"/>
                <w:sz w:val="20"/>
                <w:szCs w:val="20"/>
              </w:rPr>
            </w:pPr>
            <w:r>
              <w:rPr>
                <w:rFonts w:cs="Calibri" w:cstheme="minorHAnsi"/>
                <w:sz w:val="20"/>
                <w:szCs w:val="20"/>
              </w:rPr>
              <w:t>Λιανικό εμπόριο βιβλίων σε εξειδικευμένα καταστήματα, με εξαίρεση τις υπηρεσίες</w:t>
            </w:r>
          </w:p>
          <w:p>
            <w:pPr>
              <w:pStyle w:val="Normal"/>
              <w:widowControl w:val="false"/>
              <w:spacing w:lineRule="auto" w:line="240" w:before="0" w:after="0"/>
              <w:jc w:val="both"/>
              <w:rPr>
                <w:rFonts w:cs="Calibri" w:cstheme="minorHAnsi"/>
                <w:sz w:val="20"/>
                <w:szCs w:val="20"/>
              </w:rPr>
            </w:pPr>
            <w:r>
              <w:rPr>
                <w:rFonts w:cs="Calibri" w:cstheme="minorHAnsi"/>
                <w:sz w:val="20"/>
                <w:szCs w:val="20"/>
              </w:rPr>
              <w:t xml:space="preserve">ηλεκτρονικού ή τηλεφωνικού εμπορίου με παράδοση κατ΄ οίκον (e-shop κτλ.)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47.62.63</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cs="Calibri" w:cstheme="minorHAnsi"/>
                <w:sz w:val="20"/>
                <w:szCs w:val="20"/>
              </w:rPr>
            </w:pPr>
            <w:r>
              <w:rPr>
                <w:rFonts w:cs="Calibri" w:cstheme="minorHAnsi"/>
                <w:sz w:val="20"/>
                <w:szCs w:val="20"/>
              </w:rPr>
              <w:t xml:space="preserve">Λιανικό εμπόριο χαρτικών ειδών, με εξαίρεση τις υπηρεσίες ηλεκτρονικού ή τηλεφωνικού εμπορίου με παράδοση κατ΄ οίκον (e-shop κτλ.)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47.63</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sz w:val="20"/>
                <w:szCs w:val="20"/>
              </w:rPr>
            </w:pPr>
            <w:r>
              <w:rPr>
                <w:rFonts w:cs="Calibri" w:cstheme="minorHAnsi"/>
                <w:sz w:val="20"/>
                <w:szCs w:val="20"/>
              </w:rPr>
              <w:t xml:space="preserve">Λιανικό εμπόριο εγγραφών μουσικής και εικόνας σε εξειδικευμένα καταστήματα, με εξαίρεση τις υπηρεσίες ηλεκτρονικού ή τηλεφωνικού εμπορίου με παράδοση κατ΄ οίκον (e-shop κτλ.)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47.64</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 xml:space="preserve">Λιανικό εμπόριο αθλητικού εξοπλισμού σε εξειδικευμένα καταστήματα, με εξαίρεση τις υπηρεσίες ηλεκτρονικού ή τηλεφωνικού εμπορίου με παράδοση κατ΄ οίκον (e-shop κτλ.)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47.65</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both"/>
              <w:rPr/>
            </w:pPr>
            <w:r>
              <w:rPr>
                <w:rFonts w:cs="Calibri" w:cstheme="minorHAnsi"/>
                <w:color w:val="000000"/>
                <w:sz w:val="20"/>
                <w:szCs w:val="20"/>
              </w:rPr>
              <w:t xml:space="preserve">Λιανικό εμπόριο παιχνιδιών κάθε είδους σε εξειδικευμένα καταστήματα, με εξαίρεση τις υπηρεσίες ηλεκτρονικού ή τηλεφωνικού εμπορίου με παράδοση κατ΄ οίκον (e-shop κτλ.). Οι </w:t>
            </w:r>
            <w:r>
              <w:rPr>
                <w:rFonts w:cs="Calibri" w:cstheme="minorHAnsi"/>
                <w:b/>
                <w:color w:val="000000"/>
                <w:sz w:val="20"/>
                <w:szCs w:val="20"/>
              </w:rPr>
              <w:t>ΚΑΔ Λιανικό εμπόριο απομιμήσεων Χριστουγεννιάτικων δέντρων (47.65.67.02), Λιανικό εμπόριο εορταστικών ειδών γενικά (47.65.67.06), Λιανικό εμπόριο εορταστικών, αποκριάτικων και άλλων ψυχαγωγικών ειδών, στα οποία συμπεριλαμβάνονται τα ταχυδακτυλουργικά τεχνάσματα (τρικ) και τα είδη-εκπλήξεις (47.65.67.07)</w:t>
            </w:r>
            <w:r>
              <w:rPr>
                <w:rFonts w:cs="Calibri" w:cstheme="minorHAnsi"/>
                <w:color w:val="000000"/>
                <w:sz w:val="20"/>
                <w:szCs w:val="20"/>
              </w:rPr>
              <w:t xml:space="preserve"> </w:t>
            </w:r>
            <w:r>
              <w:rPr>
                <w:rFonts w:cs="Calibri" w:cstheme="minorHAnsi"/>
                <w:b/>
                <w:color w:val="000000"/>
                <w:sz w:val="20"/>
                <w:szCs w:val="20"/>
              </w:rPr>
              <w:t>επαναλειτουργούν</w:t>
            </w:r>
            <w:r>
              <w:rPr>
                <w:rFonts w:cs="Calibri" w:cstheme="minorHAnsi"/>
                <w:color w:val="000000"/>
                <w:sz w:val="20"/>
                <w:szCs w:val="20"/>
              </w:rPr>
              <w:t xml:space="preserve"> </w:t>
            </w:r>
            <w:r>
              <w:rPr>
                <w:rFonts w:cs="Calibri" w:cstheme="minorHAnsi"/>
                <w:b/>
                <w:sz w:val="20"/>
                <w:szCs w:val="20"/>
              </w:rPr>
              <w:t xml:space="preserve">από </w:t>
            </w:r>
            <w:r>
              <w:rPr>
                <w:rFonts w:cs="Calibri" w:cstheme="minorHAnsi"/>
                <w:b/>
                <w:sz w:val="20"/>
                <w:szCs w:val="20"/>
                <w:u w:val="single"/>
              </w:rPr>
              <w:t>7/12/2020</w:t>
            </w:r>
            <w:r>
              <w:rPr>
                <w:rFonts w:cs="Calibri" w:cstheme="minorHAnsi"/>
                <w:b/>
                <w:sz w:val="20"/>
                <w:szCs w:val="20"/>
              </w:rPr>
              <w:t xml:space="preserve">.                                                              </w:t>
            </w:r>
            <w:r>
              <w:rPr>
                <w:rFonts w:cs="Calibri" w:cstheme="minorHAnsi"/>
                <w:sz w:val="20"/>
                <w:szCs w:val="20"/>
              </w:rPr>
              <w:t xml:space="preserve">             </w:t>
            </w:r>
            <w:r>
              <w:rPr>
                <w:color w:val="FF0000"/>
              </w:rPr>
              <w:t xml:space="preserve"> </w:t>
            </w:r>
          </w:p>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 xml:space="preserve">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47.71</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Λιανικό εμπόριο ενδυμάτων σε εξειδικευμένα καταστήματα, με εξαίρεση τις υπηρεσίες</w:t>
            </w:r>
          </w:p>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 xml:space="preserve">ηλεκτρονικού ή τηλεφωνικού εμπορίου με παράδοση κατ΄ οίκον (e-shop κτλ.)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47.72</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 xml:space="preserve">Λιανικό εμπόριο υποδημάτων και δερμάτινων ειδών σε εξειδικευμένα καταστήματα, με εξαίρεση τις υπηρεσίες ηλεκτρονικού ή τηλεφωνικού εμπορίου με παράδοση κατ΄ οίκον (e-shop κτλ.)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47.75</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cs="Calibri" w:cstheme="minorHAnsi"/>
                <w:color w:val="000000"/>
                <w:sz w:val="20"/>
                <w:szCs w:val="20"/>
              </w:rPr>
            </w:pPr>
            <w:r>
              <w:rPr>
                <w:rFonts w:cs="Calibri" w:cstheme="minorHAnsi"/>
                <w:color w:val="000000"/>
                <w:sz w:val="20"/>
                <w:szCs w:val="20"/>
              </w:rPr>
              <w:t xml:space="preserve">Λιανικό εμπόριο καλλυντικών και ειδών καλλωπισμού σε εξειδικευμένα καταστήματα, εκτός από Λιανικό εμπόριο χαρτιού υγείας, χαρτομάντιλων, μαντιλιών και πετσετών καθαρισμού προσώπου, τραπεζομάντιλων και πετσετών φαγητού, από χαρτί (47.75.76.19), καθώς και τις υπηρεσίες ηλεκτρονικού ή τηλεφωνικού εμπορίου με παράδοση κατ΄ οίκον (e-shop κτλ.)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47.76</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cs="Calibri" w:cstheme="minorHAnsi"/>
                <w:color w:val="000000"/>
                <w:sz w:val="20"/>
                <w:szCs w:val="20"/>
              </w:rPr>
            </w:pPr>
            <w:r>
              <w:rPr>
                <w:rFonts w:cs="Calibri" w:cstheme="minorHAnsi"/>
                <w:color w:val="000000"/>
                <w:sz w:val="20"/>
                <w:szCs w:val="20"/>
              </w:rPr>
              <w:t xml:space="preserve">Λιανικό εμπόριο λουλουδιών, φυτών, σπόρων, λιπασμάτων, ζώων συντροφιάς και σχετικών ζωοτροφών σε εξειδικευμένα καταστήματα, εκτός από Λιανικό εμπόριο αποξηραμένων οσπριωδών λαχανικών, αποφλοιωμένων, για σπορά (47.76.77.02), Λιανικό εμπόριο γεωργικών σπόρων σε μικροσυσκευασίες (47.76.77.04), Λιανικό εμπόριο δενδρυλλίων και φυτών (εκτός καλλωπιστικών φυτών) (47.76.77.05),  Λιανικό εμπόριο ελαιούχων σπόρων π.δ.κ.α. (47.76.77.06), Λιανικό εμπόριο ζώντων φυτών, κονδύλων, βολβών και ριζών, μοσχευμάτων και παραφυάδων, μυκηλιών μανιταριών (47.76.77.07), Λιανικό εμπόριο καλαμποκιού για σπορά (47.76.77.08), Λιανικό εμπόριο κεραμικών ειδών που χρησιμοποιούνται στη γεωργία και για τη μεταφορά ή τη συσκευασία αγαθών (47.76.77.09), Λιανικό εμπόριο σπόρων ανθέων και καρπών (47.76.77.13), Λιανικό εμπόριο σπόρων ζαχαρότευτλων και σπόρων κτηνοτροφικών φυτών (47.76.77.14), Λιανικό εμπόριο σπόρων ηλίανθου, σουσαμιού, κάρδαμου, κράμβης, ελαιοκράμβης και σιναπιού, για σπορά (47.76.77.15), Λιανικό εμπόριο σπόρων λαχανικών (47.76.77.16), Λιανικό εμπόριο σπόρων πατάτας (47.76.77.17), Λιανικό εμπόριο φρέσκων φυτών που χρησιμοποιούνται κυρίως στην αρωματοποιία, τη φαρμακευτική ή την παραγωγή εντομοκτόνων, μυκητοκτόνων ή για παρόμοιους σκοπούς (47.76.77.18), Λιανικό εμπόριο φυσικών χριστουγεννιάτικων δέντρων (47.76.77.19), Λιανικό εμπόριο φυτικών υλών π.δ.κ.α. για σπαρτοπλεκτική, παραγέμισμα, βάτες, βαφή ή δέψη, φυτικών προϊόντων π.δ.κ.α. (47.76.77.20), Λιανικό εμπόριο λιπασμάτων και αγροχημικών προϊόντων (47.76.78), Λιανικό εμπόριο ζώων συντροφιάς και τροφών για ζώα συντροφιάς (47.76.79), καθώς και τις υπηρεσίες ηλεκτρονικού ή τηλεφωνικού εμπορίου με παράδοση κατ΄ οίκον (e-shop κτλ.)                                                                                                                                                                                                                                                                                   </w:t>
            </w:r>
          </w:p>
        </w:tc>
      </w:tr>
      <w:tr>
        <w:trPr>
          <w:trHeight w:val="846"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47.77</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 xml:space="preserve">Λιανικό εμπόριο ρολογιών και κοσμημάτων σε εξειδικευμένα καταστήματα, με εξαίρεση τις υπηρεσίες ηλεκτρονικού ή τηλεφωνικού εμπορίου με παράδοση κατ΄ οίκον (e-shop κτλ.)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47.78</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cs="Calibri" w:cstheme="minorHAnsi"/>
                <w:color w:val="000000"/>
                <w:sz w:val="20"/>
                <w:szCs w:val="20"/>
              </w:rPr>
            </w:pPr>
            <w:r>
              <w:rPr>
                <w:rFonts w:cs="Calibri" w:cstheme="minorHAnsi"/>
                <w:color w:val="000000"/>
                <w:sz w:val="20"/>
                <w:szCs w:val="20"/>
              </w:rPr>
              <w:t>Άλλο λιανικό εμπόριο καινούργιων ειδών σε εξειδικευμένα καταστήματα, εκτός από Λιανικό εμπόριο υλικών καθαρισμού (47.78.84), Λιανικό εμπόριο καύσιμου πετρελαίου οικιακής χρήσης, υγραέριου, άνθρακα και ξυλείας (47.78.85), Λιανικό εμπόριο περουκών και ποστίς (47.78.86.24), Λιανικό εμπόριο ακατέργαστων αγροτικών προϊόντων π.δ.κ.α. (47.78.87), Λιανικό εμπόριο μηχανημάτων και εξοπλισμού π.δ.κ.α. (47.78.88), καθώς και τις υπηρεσίες ηλεκτρονικού ή τηλεφωνικού εμπορίου με παράδοση κατ΄ οίκον (e-shop κτλ.).</w:t>
            </w:r>
            <w:r>
              <w:rPr/>
              <w:t xml:space="preserve"> </w:t>
            </w:r>
            <w:r>
              <w:rPr>
                <w:rFonts w:cs="Calibri" w:cstheme="minorHAnsi"/>
                <w:color w:val="000000"/>
                <w:sz w:val="20"/>
                <w:szCs w:val="20"/>
              </w:rPr>
              <w:t xml:space="preserve">Επιτρέπεται η λειτουργία των καταστημάτων οπτικών και καταστημάτων πώλησης ακουστικών βαρηκοΐας, μόνον κατόπιν τηλεφωνικής επικοινωνίας σε αριθμό τηλεφώνου ανάγκης που θα δίδεται από τους καταστηματάρχες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47.79</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 xml:space="preserve">Λιανικό εμπόριο μεταχειρισμένων ειδών σε καταστήματα, με εξαίρεση τις υπηρεσίες ηλεκτρονικού ή τηλεφωνικού εμπορίου με παράδοση κατ΄ οίκον (e-shop κτλ.)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47.82</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 xml:space="preserve">Λιανικό εμπόριο κλωστοϋφαντουργικών προϊόντων, ενδυμάτων και υποδημάτων, σε υπαίθριους πάγκους και αγορές, με εξαίρεση τις υπηρεσίες ηλεκτρονικού ή τηλεφωνικού εμπορίου με παράδοση κατ΄ οίκον (e-shop κτλ.)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47.89</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Λιανικό εμπόριο άλλων ειδών σε υπαίθριους πάγκους και αγορές,</w:t>
            </w:r>
            <w:r>
              <w:rPr/>
              <w:t xml:space="preserve"> </w:t>
            </w:r>
            <w:r>
              <w:rPr>
                <w:rFonts w:cs="Calibri" w:cstheme="minorHAnsi"/>
                <w:color w:val="000000"/>
                <w:sz w:val="20"/>
                <w:szCs w:val="20"/>
              </w:rPr>
              <w:t xml:space="preserve">με εξαίρεση τις υπηρεσίες ηλεκτρονικού ή τηλεφωνικού εμπορίου με παράδοση κατ΄ οίκον (e-shop κτλ.)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sz w:val="20"/>
                <w:szCs w:val="20"/>
              </w:rPr>
            </w:pPr>
            <w:r>
              <w:rPr>
                <w:rFonts w:eastAsia="" w:cs="Calibri" w:cstheme="minorHAnsi" w:eastAsiaTheme="minorEastAsia"/>
                <w:sz w:val="20"/>
                <w:szCs w:val="20"/>
              </w:rPr>
              <w:t>47.99</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cs="Calibri" w:cstheme="minorHAnsi"/>
                <w:sz w:val="20"/>
                <w:szCs w:val="20"/>
              </w:rPr>
            </w:pPr>
            <w:r>
              <w:rPr>
                <w:rFonts w:eastAsia="" w:cs="Calibri" w:cstheme="minorHAnsi" w:eastAsiaTheme="minorEastAsia"/>
                <w:sz w:val="20"/>
                <w:szCs w:val="20"/>
              </w:rPr>
              <w:t xml:space="preserve">Άλλο λιανικό εμπόριο εκτός καταστημάτων, υπαίθριων πάγκων ή αγορών, με εξαίρεση το Άλλο λιανικό εμπόριο πετρελαίου οικιακής χρήσης, υγραέριου, άνθρακα και ξυλείας εκτός καταστημάτων, υπαίθριων πάγκων ή αγορών (47.99.85) και τις υπηρεσίες ηλεκτρονικού ή τηλεφωνικού εμπορίου με παράδοση κατ΄ οίκον (e-shop κτλ.), καθώς και του λιανικού εμπορίου άλλων τυποποιημένων τροφίμων π.δ.κ.α. μέσω αυτόματων πωλητών (47.99.24.01), του λιανικού εμπορίου τυποποιημένων προϊόντων αρτοποιίας μέσω αυτόματων πωλητών (47.99.16.01), του λιανικού εμπορίου ροφημάτων μέσω αυτόματων πωλητών (47.99.21.01) και του λιανικού εμπορίου τυποποιημένων ειδών ζαχαροπλαστικής μέσω αυτόματων πωλητών (47.99.17.01)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56.10</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cs="Calibri" w:cstheme="minorHAnsi"/>
                <w:sz w:val="20"/>
                <w:szCs w:val="20"/>
              </w:rPr>
            </w:pPr>
            <w:r>
              <w:rPr>
                <w:rFonts w:cs="Calibri" w:cstheme="minorHAnsi"/>
                <w:sz w:val="20"/>
                <w:szCs w:val="20"/>
              </w:rPr>
              <w:t xml:space="preserve">Δραστηριότητες υπηρεσιών εστιατορίων και κινητών μονάδων εστίασης, με εξαίρεση τις δραστηριότητες που αφορούν διανομή προϊόντων (delivery) και παροχή προϊόντων σε πακέτο από το κατάστημα (take away) στις οποίες δεν επιτρέπεται η χρήση τραπεζοκαθισμάτων και το σερβίρισμα σε αυτά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56.21</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sz w:val="20"/>
                <w:szCs w:val="20"/>
              </w:rPr>
            </w:pPr>
            <w:r>
              <w:rPr>
                <w:rFonts w:cs="Calibri" w:cstheme="minorHAnsi"/>
                <w:sz w:val="20"/>
                <w:szCs w:val="20"/>
              </w:rPr>
              <w:t xml:space="preserve">Δραστηριότητες υπηρεσιών τροφοδοσίας για εκδηλώσεις </w:t>
            </w:r>
          </w:p>
        </w:tc>
      </w:tr>
      <w:tr>
        <w:trPr>
          <w:trHeight w:val="1237"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sz w:val="20"/>
                <w:szCs w:val="20"/>
              </w:rPr>
            </w:pPr>
            <w:r>
              <w:rPr>
                <w:rFonts w:cs="Calibri" w:cstheme="minorHAnsi"/>
                <w:sz w:val="20"/>
                <w:szCs w:val="20"/>
              </w:rPr>
              <w:t>56.29</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cs="Calibri" w:cstheme="minorHAnsi"/>
                <w:sz w:val="20"/>
                <w:szCs w:val="20"/>
              </w:rPr>
            </w:pPr>
            <w:r>
              <w:rPr>
                <w:rFonts w:cs="Calibri" w:cstheme="minorHAnsi"/>
                <w:sz w:val="20"/>
                <w:szCs w:val="20"/>
              </w:rPr>
              <w:t>Άλλες υπηρεσίες εστίασης, με εξαίρεση τις Υπηρεσίες γευμάτων που παρέχονται από στρατιωτικές τραπεζαρίες (56.29.20.01)</w:t>
            </w:r>
            <w:r>
              <w:rPr/>
              <w:t xml:space="preserve"> </w:t>
            </w:r>
            <w:r>
              <w:rPr>
                <w:rFonts w:cs="Calibri" w:cstheme="minorHAnsi"/>
                <w:sz w:val="20"/>
                <w:szCs w:val="20"/>
              </w:rPr>
              <w:t xml:space="preserve">και τις δραστηριότητες που αφορούν διανομή προϊόντων (delivery) και παροχή προϊόντων σε πακέτο από το κατάστημα (take away) στις οποίες δεν επιτρέπεται η χρήση τραπεζοκαθισμάτων και το σερβίρισμα σε αυτά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56.30</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cs="Calibri" w:cstheme="minorHAnsi"/>
                <w:sz w:val="20"/>
                <w:szCs w:val="20"/>
              </w:rPr>
            </w:pPr>
            <w:r>
              <w:rPr>
                <w:rFonts w:cs="Calibri" w:cstheme="minorHAnsi"/>
                <w:sz w:val="20"/>
                <w:szCs w:val="20"/>
              </w:rPr>
              <w:t xml:space="preserve">Δραστηριότητες παροχής ποτών, με εξαίρεση τις δραστηριότητες που αφορούν διανομή προϊόντων (delivery) και παροχή προϊόντων σε πακέτο από το κατάστημα (take away) στις οποίες δεν επιτρέπεται η χρήση τραπεζοκαθισμάτων και το σερβίρισμα σε αυτά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59.14</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sz w:val="20"/>
                <w:szCs w:val="20"/>
              </w:rPr>
            </w:pPr>
            <w:r>
              <w:rPr>
                <w:rFonts w:cs="Calibri" w:cstheme="minorHAnsi"/>
                <w:sz w:val="20"/>
                <w:szCs w:val="20"/>
              </w:rPr>
              <w:t xml:space="preserve">Δραστηριότητες προβολής κινηματογραφικών ταινιών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71.20.14</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cs="Calibri" w:cstheme="minorHAnsi"/>
                <w:sz w:val="20"/>
                <w:szCs w:val="20"/>
              </w:rPr>
            </w:pPr>
            <w:r>
              <w:rPr>
                <w:rFonts w:cs="Calibri" w:cstheme="minorHAnsi"/>
                <w:sz w:val="20"/>
                <w:szCs w:val="20"/>
              </w:rPr>
              <w:t>Υπηρεσίες τεχνικού ελέγχου οχημάτων οδικών μεταφορών, εξαιρουμένων αποκλειστικά των Ιδιωτικών Κέντρων Τεχνικού Ελέγχου Οχημάτων (ΙΚΤΕΟ) που διαθέτουν εγκεκριμένη – αδειοδοτημένη αυτόματη γραμμή τεχνικού ελέγχου βαρέων οχημάτων για τον τεχνικό έλεγχο φορτηγών και λεωφορείων αυτοκίνητων οχημάτων που εκτελούν διεθνείς και εγχώριες μεταφορές, των οποίων ο τεχνικός έλεγχος εξακολουθεί να διενεργείται σύμφωνα με τις ισχύουσες διατάξεις</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highlight w:val="yellow"/>
              </w:rPr>
            </w:pPr>
            <w:r>
              <w:rPr>
                <w:rFonts w:cs="Calibri" w:cstheme="minorHAnsi"/>
                <w:color w:val="000000"/>
                <w:sz w:val="20"/>
                <w:szCs w:val="20"/>
              </w:rPr>
              <w:t>77.21</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sz w:val="20"/>
                <w:szCs w:val="20"/>
                <w:highlight w:val="yellow"/>
              </w:rPr>
            </w:pPr>
            <w:r>
              <w:rPr>
                <w:rFonts w:cs="Calibri" w:cstheme="minorHAnsi"/>
                <w:sz w:val="20"/>
                <w:szCs w:val="20"/>
              </w:rPr>
              <w:t>Ενοικίαση και εκμίσθωση ειδών αναψυχής και αθλητικών ειδών, με εξαίρεση: α) τις υπηρεσίες ενοικίασης ποδηλάτων (ΚΑΔ 77.21.10.08) και β) τις υπηρεσίες μίσθωσης αθλητικού εξοπλισμού (μπαστουνιών γκολφ, ρακετών κ.λπ.) (ΚΑΔ 77.21.10.09)</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77.22</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sz w:val="20"/>
                <w:szCs w:val="20"/>
              </w:rPr>
            </w:pPr>
            <w:r>
              <w:rPr>
                <w:rFonts w:cs="Calibri" w:cstheme="minorHAnsi"/>
                <w:sz w:val="20"/>
                <w:szCs w:val="20"/>
              </w:rPr>
              <w:t xml:space="preserve">Ενοικίαση βιντεοκασετών και δίσκων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77.29</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sz w:val="20"/>
                <w:szCs w:val="20"/>
              </w:rPr>
            </w:pPr>
            <w:r>
              <w:rPr>
                <w:rFonts w:cs="Calibri" w:cstheme="minorHAnsi"/>
                <w:sz w:val="20"/>
                <w:szCs w:val="20"/>
              </w:rPr>
              <w:t xml:space="preserve">Ενοικίαση και εκμίσθωση άλλων ειδών προσωπικής ή οικιακής χρήσης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77.39.13</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sz w:val="20"/>
                <w:szCs w:val="20"/>
              </w:rPr>
            </w:pPr>
            <w:r>
              <w:rPr>
                <w:rFonts w:cs="Calibri" w:cstheme="minorHAnsi"/>
                <w:sz w:val="20"/>
                <w:szCs w:val="20"/>
              </w:rPr>
              <w:t>Υπηρεσίες ενοικίασης και χρηματοδοτικής μίσθωσης μοτοσικλετών και τροχόσπιτων</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77.39.19.03</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sz w:val="20"/>
                <w:szCs w:val="20"/>
              </w:rPr>
            </w:pPr>
            <w:r>
              <w:rPr>
                <w:rFonts w:cs="Calibri" w:cstheme="minorHAnsi"/>
                <w:sz w:val="20"/>
                <w:szCs w:val="20"/>
              </w:rPr>
              <w:t>Υπηρεσίες ενοικίασης εξοπλισμού εκθέσεων</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sz w:val="20"/>
                <w:szCs w:val="20"/>
              </w:rPr>
            </w:pPr>
            <w:r>
              <w:rPr>
                <w:rFonts w:cs="Calibri" w:cstheme="minorHAnsi"/>
                <w:sz w:val="20"/>
                <w:szCs w:val="20"/>
              </w:rPr>
              <w:t>79.90.32</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sz w:val="20"/>
                <w:szCs w:val="20"/>
              </w:rPr>
            </w:pPr>
            <w:r>
              <w:rPr>
                <w:rFonts w:cs="Calibri" w:cstheme="minorHAnsi"/>
                <w:sz w:val="20"/>
                <w:szCs w:val="20"/>
              </w:rPr>
              <w:t>Υπηρεσίες κρατήσεων για συνεδριακά κέντρα και εκθεσιακούς χώρους</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sz w:val="20"/>
                <w:szCs w:val="20"/>
              </w:rPr>
            </w:pPr>
            <w:r>
              <w:rPr>
                <w:rFonts w:cs="Calibri" w:cstheme="minorHAnsi"/>
                <w:sz w:val="20"/>
                <w:szCs w:val="20"/>
              </w:rPr>
              <w:t>79.90.39</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sz w:val="20"/>
                <w:szCs w:val="20"/>
              </w:rPr>
            </w:pPr>
            <w:r>
              <w:rPr>
                <w:rFonts w:cs="Calibri" w:cstheme="minorHAnsi"/>
                <w:sz w:val="20"/>
                <w:szCs w:val="20"/>
              </w:rPr>
              <w:t>Υπηρεσίες κρατήσεων για εισιτήρια εκδηλώσεων, υπηρεσίες ψυχαγωγίας και αναψυχής και Άλλες υπηρεσίες κρατήσεων π.δ.κ.α.</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sz w:val="20"/>
                <w:szCs w:val="20"/>
              </w:rPr>
            </w:pPr>
            <w:r>
              <w:rPr>
                <w:rFonts w:cs="Calibri" w:cstheme="minorHAnsi"/>
                <w:sz w:val="20"/>
                <w:szCs w:val="20"/>
              </w:rPr>
              <w:t>82.30</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sz w:val="20"/>
                <w:szCs w:val="20"/>
              </w:rPr>
            </w:pPr>
            <w:r>
              <w:rPr>
                <w:rFonts w:cs="Calibri" w:cstheme="minorHAnsi"/>
                <w:sz w:val="20"/>
                <w:szCs w:val="20"/>
              </w:rPr>
              <w:t xml:space="preserve">Οργάνωση συνεδρίων και εμπορικών εκθέσεων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sz w:val="20"/>
                <w:szCs w:val="20"/>
              </w:rPr>
            </w:pPr>
            <w:r>
              <w:rPr>
                <w:rFonts w:cs="Calibri" w:cstheme="minorHAnsi"/>
                <w:sz w:val="20"/>
                <w:szCs w:val="20"/>
              </w:rPr>
              <w:t>85.10</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sz w:val="20"/>
                <w:szCs w:val="20"/>
              </w:rPr>
            </w:pPr>
            <w:r>
              <w:rPr>
                <w:rFonts w:cs="Calibri" w:cstheme="minorHAnsi"/>
                <w:sz w:val="20"/>
                <w:szCs w:val="20"/>
              </w:rPr>
              <w:t xml:space="preserve">Προσχολική εκπαίδευση, εξαιρείται η εξ αποστάσεως εκπαίδευση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sz w:val="20"/>
                <w:szCs w:val="20"/>
              </w:rPr>
            </w:pPr>
            <w:r>
              <w:rPr>
                <w:rFonts w:cs="Calibri" w:cstheme="minorHAnsi"/>
                <w:sz w:val="20"/>
                <w:szCs w:val="20"/>
              </w:rPr>
              <w:t>85.51</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cs="Calibri" w:cstheme="minorHAnsi"/>
                <w:sz w:val="20"/>
                <w:szCs w:val="20"/>
              </w:rPr>
            </w:pPr>
            <w:r>
              <w:rPr>
                <w:rFonts w:cs="Calibri" w:cstheme="minorHAnsi"/>
                <w:sz w:val="20"/>
                <w:szCs w:val="20"/>
              </w:rPr>
              <w:t xml:space="preserve">Αθλητική και ψυχαγωγική εκπαίδευση, εξαιρείται η εξ αποστάσεως εκπαίδευση και οι υπηρεσίες προπονητή αθλητών (85.51.10.06) που σχετίζονται με ατομικά αθλήματα και αθλητές που συμμετέχουν στην Α΄ κατηγορία καλαθοσφαίρισης (Basket league) και ποδοσφαίρου (Superleague) και σε Ολυμπιακούς και Παραολυμπιακούς αγώνες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85.52</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sz w:val="20"/>
                <w:szCs w:val="20"/>
              </w:rPr>
            </w:pPr>
            <w:r>
              <w:rPr>
                <w:rFonts w:cs="Calibri" w:cstheme="minorHAnsi"/>
                <w:sz w:val="20"/>
                <w:szCs w:val="20"/>
              </w:rPr>
              <w:t xml:space="preserve">Πολιτιστική εκπαίδευση, εξαιρείται η εξ αποστάσεως εκπαίδευση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85.53</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sz w:val="20"/>
                <w:szCs w:val="20"/>
              </w:rPr>
            </w:pPr>
            <w:r>
              <w:rPr>
                <w:rFonts w:cs="Calibri" w:cstheme="minorHAnsi"/>
                <w:sz w:val="20"/>
                <w:szCs w:val="20"/>
              </w:rPr>
              <w:t xml:space="preserve">Δραστηριότητες σχολών ερασιτεχνών οδηγών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85.59</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sz w:val="20"/>
                <w:szCs w:val="20"/>
              </w:rPr>
            </w:pPr>
            <w:r>
              <w:rPr>
                <w:rFonts w:cs="Calibri" w:cstheme="minorHAnsi"/>
                <w:sz w:val="20"/>
                <w:szCs w:val="20"/>
              </w:rPr>
              <w:t xml:space="preserve">Άλλη εκπαίδευση π.δ.κ.α., εξαιρείται η ειδική αγωγή και η εξ αποστάσεως εκπαίδευση                                                                                                                                                                                                                                                                                                                                                                                                                                                                                    </w:t>
            </w:r>
          </w:p>
        </w:tc>
      </w:tr>
      <w:tr>
        <w:trPr>
          <w:trHeight w:val="321"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cs="Calibri" w:cstheme="minorHAnsi"/>
                <w:color w:val="000000"/>
                <w:sz w:val="20"/>
                <w:szCs w:val="20"/>
              </w:rPr>
            </w:pPr>
            <w:r>
              <w:rPr>
                <w:rFonts w:cs="Calibri" w:cstheme="minorHAnsi"/>
                <w:color w:val="000000"/>
                <w:sz w:val="20"/>
                <w:szCs w:val="20"/>
              </w:rPr>
              <w:t>86.90.19.10</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cs="Calibri" w:cstheme="minorHAnsi"/>
                <w:sz w:val="20"/>
                <w:szCs w:val="20"/>
              </w:rPr>
            </w:pPr>
            <w:r>
              <w:rPr>
                <w:rFonts w:cs="Calibri" w:cstheme="minorHAnsi"/>
                <w:sz w:val="20"/>
                <w:szCs w:val="20"/>
              </w:rPr>
              <w:t>Υπηρεσίες οδηγιών διατροφής από ειδικούς που δεν είναι γιατροί, εξαιρείται η εξ’ αποστάσεως συμβουλευτική</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88.10.11</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sz w:val="20"/>
                <w:szCs w:val="20"/>
              </w:rPr>
            </w:pPr>
            <w:r>
              <w:rPr>
                <w:rFonts w:cs="Calibri" w:cstheme="minorHAnsi"/>
                <w:sz w:val="20"/>
                <w:szCs w:val="20"/>
              </w:rPr>
              <w:t>Υπηρεσίες επίσκεψης και παροχής υποστήριξης σε ηλικιωμένους</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88.10.12</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sz w:val="20"/>
                <w:szCs w:val="20"/>
              </w:rPr>
            </w:pPr>
            <w:r>
              <w:rPr>
                <w:rFonts w:cs="Calibri" w:cstheme="minorHAnsi"/>
                <w:sz w:val="20"/>
                <w:szCs w:val="20"/>
              </w:rPr>
              <w:t>Υπηρεσίες κέντρων ημερήσιας φροντίδας ηλικιωμένων</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88.91</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cs="Calibri" w:cstheme="minorHAnsi"/>
                <w:sz w:val="20"/>
                <w:szCs w:val="20"/>
              </w:rPr>
            </w:pPr>
            <w:r>
              <w:rPr>
                <w:rFonts w:cs="Calibri" w:cstheme="minorHAnsi"/>
                <w:sz w:val="20"/>
                <w:szCs w:val="20"/>
              </w:rPr>
              <w:t xml:space="preserve">Δραστηριότητες βρεφονηπιακών και παιδικών σταθμών με εξαίρεση τα Κέντρα Δημιουργικής Απασχόλησης παιδιών και ατόμων με αναπηρία (ΚΔΑΠΜΕΑ) (88.91.12) και τις υπηρεσίες κατ οίκον φύλαξης μικρών παιδιών (ΚΑΔ 88.91.13.03)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sz w:val="20"/>
                <w:szCs w:val="20"/>
              </w:rPr>
            </w:pPr>
            <w:r>
              <w:rPr>
                <w:rFonts w:cs="Calibri" w:cstheme="minorHAnsi"/>
                <w:sz w:val="20"/>
                <w:szCs w:val="20"/>
              </w:rPr>
              <w:t>90.01</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sz w:val="20"/>
                <w:szCs w:val="20"/>
              </w:rPr>
            </w:pPr>
            <w:r>
              <w:rPr>
                <w:rFonts w:cs="Calibri" w:cstheme="minorHAnsi"/>
                <w:sz w:val="20"/>
                <w:szCs w:val="20"/>
              </w:rPr>
              <w:t xml:space="preserve">Τέχνες του θεάματος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90.02</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Υποστηρικτικές δραστηριότητες για τις τέχνες του θεάματος</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sz w:val="20"/>
                <w:szCs w:val="20"/>
              </w:rPr>
            </w:pPr>
            <w:r>
              <w:rPr>
                <w:rFonts w:cs="Calibri" w:cstheme="minorHAnsi"/>
                <w:sz w:val="20"/>
                <w:szCs w:val="20"/>
              </w:rPr>
              <w:t>90.03.11.04</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sz w:val="20"/>
                <w:szCs w:val="20"/>
              </w:rPr>
            </w:pPr>
            <w:r>
              <w:rPr>
                <w:rFonts w:cs="Calibri" w:cstheme="minorHAnsi"/>
                <w:sz w:val="20"/>
                <w:szCs w:val="20"/>
              </w:rPr>
              <w:t>Υπηρεσίες ενορχηστρωτή</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sz w:val="20"/>
                <w:szCs w:val="20"/>
              </w:rPr>
            </w:pPr>
            <w:r>
              <w:rPr>
                <w:rFonts w:cs="Calibri" w:cstheme="minorHAnsi"/>
                <w:sz w:val="20"/>
                <w:szCs w:val="20"/>
              </w:rPr>
              <w:t>90.03.11.07</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sz w:val="20"/>
                <w:szCs w:val="20"/>
              </w:rPr>
            </w:pPr>
            <w:r>
              <w:rPr>
                <w:rFonts w:cs="Calibri" w:cstheme="minorHAnsi"/>
                <w:sz w:val="20"/>
                <w:szCs w:val="20"/>
              </w:rPr>
              <w:t>Υπηρεσίες μουσουργού</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sz w:val="20"/>
                <w:szCs w:val="20"/>
              </w:rPr>
            </w:pPr>
            <w:r>
              <w:rPr>
                <w:rFonts w:cs="Calibri" w:cstheme="minorHAnsi"/>
                <w:sz w:val="20"/>
                <w:szCs w:val="20"/>
              </w:rPr>
              <w:t>90.03.11.17</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sz w:val="20"/>
                <w:szCs w:val="20"/>
              </w:rPr>
            </w:pPr>
            <w:r>
              <w:rPr>
                <w:rFonts w:cs="Calibri" w:cstheme="minorHAnsi"/>
                <w:sz w:val="20"/>
                <w:szCs w:val="20"/>
              </w:rPr>
              <w:t>Υπηρεσίες χορογράφου</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sz w:val="20"/>
                <w:szCs w:val="20"/>
              </w:rPr>
            </w:pPr>
            <w:r>
              <w:rPr>
                <w:rFonts w:cs="Calibri" w:cstheme="minorHAnsi"/>
                <w:sz w:val="20"/>
                <w:szCs w:val="20"/>
              </w:rPr>
              <w:t>90.03.11.18</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sz w:val="20"/>
                <w:szCs w:val="20"/>
              </w:rPr>
            </w:pPr>
            <w:r>
              <w:rPr>
                <w:rFonts w:cs="Calibri" w:cstheme="minorHAnsi"/>
                <w:sz w:val="20"/>
                <w:szCs w:val="20"/>
              </w:rPr>
              <w:t>Υπηρεσίες χορωδού</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90.04</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 xml:space="preserve">Εκμετάλλευση αιθουσών θεαμάτων και συναφείς δραστηριότητες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91.01</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 xml:space="preserve">Δραστηριότητες βιβλιοθηκών και αρχειοφυλακείων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91.02</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 xml:space="preserve">Δραστηριότητες μουσείων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91.03</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 xml:space="preserve">Λειτουργία ιστορικών χώρων και κτιρίων και παρόμοιων πόλων έλξης επισκεπτών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91.04</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 xml:space="preserve">Δραστηριότητες βοτανικών και ζωολογικών κήπων και φυσικών βιοτόπων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92.00</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 xml:space="preserve">Τυχερά παιχνίδια και στοιχήματα εκτός από Υπηρεσίες τυχερών παιχνιδιών σε απευθείας (on-line) σύνδεση (92.00.14), Υπηρεσίες στοιχημάτων σε απ ευθείας (on-line) σύνδεση (92.00.21)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sz w:val="20"/>
                <w:szCs w:val="20"/>
              </w:rPr>
            </w:pPr>
            <w:r>
              <w:rPr>
                <w:rFonts w:cs="Calibri" w:cstheme="minorHAnsi"/>
                <w:sz w:val="20"/>
                <w:szCs w:val="20"/>
              </w:rPr>
              <w:t>93.11</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cs="Calibri" w:cstheme="minorHAnsi"/>
                <w:sz w:val="20"/>
                <w:szCs w:val="20"/>
              </w:rPr>
            </w:pPr>
            <w:r>
              <w:rPr>
                <w:rFonts w:cs="Calibri" w:cstheme="minorHAnsi"/>
                <w:sz w:val="20"/>
                <w:szCs w:val="20"/>
              </w:rPr>
              <w:t>Εκμετάλλευση αθλητικών εγκαταστάσεων ως προς τους εσωτερικούς τους χώρους και ως προς τους χώρους ομαδικής άθλησης, με εξαίρεση α) τις εγκαταστάσεις που διενεργούνται προπονήσεις και αγώνες ομάδων Α΄ κατηγορίας καλαθοσφαίρισης (Basket league) και ποδοσφαίρου (Superleague), β) εγκαταστάσεις που προπονούνται αθλητές που συμμετέχουν στους Ολυμπιακούς και Παραολυμπιακούς αγώνες, γ) τους προπονητές που παρέχουν υπηρεσίες σε ατομικά αθλήματα</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sz w:val="20"/>
                <w:szCs w:val="20"/>
              </w:rPr>
            </w:pPr>
            <w:r>
              <w:rPr>
                <w:rFonts w:cs="Calibri" w:cstheme="minorHAnsi"/>
                <w:sz w:val="20"/>
                <w:szCs w:val="20"/>
              </w:rPr>
              <w:t>93.12</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cs="Calibri" w:cstheme="minorHAnsi"/>
                <w:sz w:val="20"/>
                <w:szCs w:val="20"/>
              </w:rPr>
            </w:pPr>
            <w:r>
              <w:rPr>
                <w:rFonts w:cs="Calibri" w:cstheme="minorHAnsi"/>
                <w:sz w:val="20"/>
                <w:szCs w:val="20"/>
              </w:rPr>
              <w:t>Δραστηριότητες αθλητικών ομίλων, με εξαίρεση τους αθλητικούς ομίλους που συμμετέχουν στην Α΄ κατηγορία καλαθοσφαίρισης (Basket league) και ποδοσφαίρου (Superleague) και σε Ολυμπιακούς και Παραολυμπιακούς αγώνες</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93.13</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cs="Calibri" w:cstheme="minorHAnsi"/>
                <w:color w:val="000000"/>
                <w:sz w:val="20"/>
                <w:szCs w:val="20"/>
              </w:rPr>
            </w:pPr>
            <w:r>
              <w:rPr>
                <w:rFonts w:cs="Calibri" w:cstheme="minorHAnsi"/>
                <w:sz w:val="20"/>
                <w:szCs w:val="20"/>
              </w:rPr>
              <w:t xml:space="preserve">Εγκαταστάσεις γυμναστικής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93.19</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cs="Calibri" w:cstheme="minorHAnsi"/>
                <w:color w:val="000000"/>
                <w:sz w:val="20"/>
                <w:szCs w:val="20"/>
              </w:rPr>
            </w:pPr>
            <w:r>
              <w:rPr>
                <w:rFonts w:cs="Calibri" w:cstheme="minorHAnsi"/>
                <w:color w:val="000000"/>
                <w:sz w:val="20"/>
                <w:szCs w:val="20"/>
              </w:rPr>
              <w:t>Άλλες αθλητικές δραστηριότητες , με εξαίρεση υπηρεσίες που σχετίζονται με την εκπαίδευση κατοικίδιων ζώων συντροφιάς, για κυνήγι και σχετικές δραστηριότητες (93.19.13.03) και υπηρεσίες που σχετίζονται με αθλητές που συμμετέχουν σε ατομικά αθλήματα και στην Α΄ κατηγορία καλαθοσφαίρισης (Basket league) και ποδοσφαίρου (Superleague) και σε Ολυμπιακούς και Παραολυμπιακούς αγώνες</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93.21</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 xml:space="preserve">Δραστηριότητες πάρκων αναψυχής και άλλων θεματικών πάρκων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93.29</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 xml:space="preserve">Άλλες δραστηριότητες διασκέδασης και ψυχαγωγίας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eastAsia="" w:cs="Calibri" w:cstheme="minorHAnsi" w:eastAsiaTheme="minorEastAsia"/>
                <w:sz w:val="20"/>
                <w:szCs w:val="20"/>
              </w:rPr>
            </w:pPr>
            <w:r>
              <w:rPr>
                <w:rFonts w:eastAsia="" w:cs="Calibri" w:cstheme="minorHAnsi" w:eastAsiaTheme="minorEastAsia"/>
                <w:sz w:val="20"/>
                <w:szCs w:val="20"/>
              </w:rPr>
              <w:t>94.99.16</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eastAsia="" w:cs="Calibri" w:cstheme="minorHAnsi" w:eastAsiaTheme="minorEastAsia"/>
                <w:sz w:val="20"/>
                <w:szCs w:val="20"/>
              </w:rPr>
            </w:pPr>
            <w:r>
              <w:rPr>
                <w:rFonts w:eastAsia="" w:cs="Calibri" w:cstheme="minorHAnsi" w:eastAsiaTheme="minorEastAsia"/>
                <w:sz w:val="20"/>
                <w:szCs w:val="20"/>
              </w:rPr>
              <w:t>Υπηρεσίες που παρέχονται από πολιτιστικές και ψυχαγωγικές ενώσεις, με εξαίρεση τις δραστηριότητες που αφορούν παροχή υπηρεσιών σε αιτούντες άσυλο και πρόσφυγες, και ιδίως παραπομπές και συνοδεία σε θέσεις φιλοξενίας, υπηρεσίες διερμηνείας, ψυχοκοινωνικής στήριξης και νομικής συνδρομής</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96.02</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 xml:space="preserve">Δραστηριότητες κομμωτηρίων, κουρείων και κέντρων αισθητικής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eastAsia="" w:cs="Calibri" w:cstheme="minorHAnsi" w:eastAsiaTheme="minorEastAsia"/>
                <w:sz w:val="20"/>
                <w:szCs w:val="20"/>
              </w:rPr>
            </w:pPr>
            <w:r>
              <w:rPr>
                <w:rFonts w:eastAsia="" w:cs="Calibri" w:cstheme="minorHAnsi" w:eastAsiaTheme="minorEastAsia"/>
                <w:sz w:val="20"/>
                <w:szCs w:val="20"/>
              </w:rPr>
              <w:t>96.04</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eastAsia="" w:cs="Calibri" w:cstheme="minorHAnsi" w:eastAsiaTheme="minorEastAsia"/>
                <w:sz w:val="20"/>
                <w:szCs w:val="20"/>
              </w:rPr>
            </w:pPr>
            <w:r>
              <w:rPr>
                <w:rFonts w:eastAsia="" w:cs="Calibri" w:cstheme="minorHAnsi" w:eastAsiaTheme="minorEastAsia"/>
                <w:sz w:val="20"/>
                <w:szCs w:val="20"/>
              </w:rPr>
              <w:t>Δραστηριότητες σχετικές με τη φυσική ευεξία, εξαιρείται η εξ’ αποστάσεως συμβουλευτική</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96.09.19.06</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 xml:space="preserve">Υπηρεσίες γραφείων γνωριμίας ή συνοικεσίων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96.09.19.08</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 xml:space="preserve">Υπηρεσίες γυαλίσματος υποδημάτων </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96.09.19.09</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Υπηρεσίες δερματοστιξίας (τατουάζ)</w:t>
            </w:r>
          </w:p>
        </w:tc>
      </w:tr>
      <w:tr>
        <w:trPr>
          <w:trHeight w:val="29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96.09.19.12</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Υπηρεσίες ιερόδουλου</w:t>
            </w:r>
          </w:p>
        </w:tc>
      </w:tr>
      <w:tr>
        <w:trPr>
          <w:trHeight w:val="58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96.09.19.16</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Υπηρεσίες στολισμού εκκλησιών, αιθουσών κλπ (για γάμους, βαπτίσεις, κηδείες και Άλλες εκδηλώσεις)</w:t>
            </w:r>
          </w:p>
        </w:tc>
      </w:tr>
      <w:tr>
        <w:trPr>
          <w:trHeight w:val="47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96.09.19.17</w:t>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t>Υπηρεσίες τρυπήματος δέρματος του σώματος (piercing)</w:t>
            </w:r>
          </w:p>
        </w:tc>
      </w:tr>
      <w:tr>
        <w:trPr>
          <w:trHeight w:val="780" w:hRule="atLeast"/>
        </w:trPr>
        <w:tc>
          <w:tcPr>
            <w:tcW w:w="11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color w:val="000000"/>
                <w:sz w:val="20"/>
                <w:szCs w:val="20"/>
              </w:rPr>
            </w:pPr>
            <w:r>
              <w:rPr>
                <w:rFonts w:cs="Calibri" w:cstheme="minorHAnsi"/>
                <w:color w:val="000000"/>
                <w:sz w:val="20"/>
                <w:szCs w:val="20"/>
              </w:rPr>
            </w:r>
          </w:p>
        </w:tc>
        <w:tc>
          <w:tcPr>
            <w:tcW w:w="83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cs="Calibri" w:cstheme="minorHAnsi"/>
                <w:color w:val="000000"/>
                <w:sz w:val="20"/>
                <w:szCs w:val="20"/>
              </w:rPr>
            </w:pPr>
            <w:r>
              <w:rPr>
                <w:rFonts w:cs="Calibri" w:cstheme="minorHAnsi"/>
                <w:color w:val="000000"/>
                <w:sz w:val="20"/>
                <w:szCs w:val="20"/>
              </w:rPr>
              <w:t>Καταστήματα λιανικού εμπορίου που λειτουργούν με συμφωνίες συνεργασίας όλων των καταστημάτων λιανικού εμπορίου τύπου «κατάστημα εντός καταστήματος» (shops-in a-shop), που βρίσκονται σε εκπτωτικά καταστήματα (outlet), εμπορικά κέντρα ή εκπτωτικά χωριά, εξαιρουμένων των σούπερ μάρκετ και των φαρμακείων υπό την προϋπόθεση ότι διαθέτουν ανεξάρτητη είσοδο για τους καταναλωτές</w:t>
            </w:r>
          </w:p>
        </w:tc>
      </w:tr>
    </w:tbl>
    <w:p>
      <w:pPr>
        <w:pStyle w:val="Normal"/>
        <w:spacing w:before="0" w:after="0"/>
        <w:rPr>
          <w:rFonts w:ascii="Calibri" w:hAnsi="Calibri" w:cs="Calibri" w:asciiTheme="minorHAnsi" w:cstheme="minorHAnsi" w:hAnsiTheme="minorHAnsi"/>
          <w:b/>
          <w:b/>
          <w:sz w:val="20"/>
          <w:szCs w:val="20"/>
        </w:rPr>
      </w:pPr>
      <w:r>
        <w:rPr>
          <w:rFonts w:cs="Calibri" w:cstheme="minorHAnsi"/>
          <w:b/>
          <w:sz w:val="20"/>
          <w:szCs w:val="20"/>
        </w:rPr>
      </w:r>
    </w:p>
    <w:p>
      <w:pPr>
        <w:pStyle w:val="Normal"/>
        <w:spacing w:before="0" w:after="0"/>
        <w:jc w:val="center"/>
        <w:rPr>
          <w:rFonts w:ascii="Calibri" w:hAnsi="Calibri" w:cs="Calibri" w:asciiTheme="minorHAnsi" w:cstheme="minorHAnsi" w:hAnsiTheme="minorHAnsi"/>
          <w:b/>
          <w:b/>
          <w:sz w:val="20"/>
          <w:szCs w:val="20"/>
        </w:rPr>
      </w:pPr>
      <w:r>
        <w:rPr>
          <w:rFonts w:cs="Calibri" w:cstheme="minorHAnsi"/>
          <w:b/>
          <w:sz w:val="20"/>
          <w:szCs w:val="20"/>
        </w:rPr>
        <w:t>ΠΑΡΑΡΤΗΜΑ Β’ : ΚΩΔΙΚΟΣ  ΑΡΙΘΜΟΣ ΔΡΑΣΤΗΡΙΟΤΗΤΑΣ ΠΟΥ ΑΝΑΣΤΕΛΛΕΤΑΙ Η ΛΕΙΤΟΥΡΓΙΑ ΤΟΥ  ΣΕ ΟΛΗ ΤΗΝ ΕΠΙΚΡΑΤΕΙΑ</w:t>
      </w:r>
    </w:p>
    <w:p>
      <w:pPr>
        <w:pStyle w:val="Normal"/>
        <w:spacing w:before="0" w:after="0"/>
        <w:jc w:val="center"/>
        <w:rPr>
          <w:rFonts w:ascii="Calibri" w:hAnsi="Calibri" w:cs="Calibri" w:asciiTheme="minorHAnsi" w:cstheme="minorHAnsi" w:hAnsiTheme="minorHAnsi"/>
          <w:b/>
          <w:b/>
          <w:sz w:val="20"/>
          <w:szCs w:val="20"/>
        </w:rPr>
      </w:pPr>
      <w:r>
        <w:rPr>
          <w:rFonts w:cs="Calibri" w:cstheme="minorHAnsi"/>
          <w:b/>
          <w:sz w:val="20"/>
          <w:szCs w:val="20"/>
        </w:rPr>
        <w:t xml:space="preserve">     </w:t>
      </w:r>
      <w:r>
        <w:rPr>
          <w:rFonts w:cs="Calibri" w:cstheme="minorHAnsi"/>
          <w:b/>
          <w:sz w:val="20"/>
          <w:szCs w:val="20"/>
        </w:rPr>
        <w:t>(από 7/12/2020 έως 14/12/2020)</w:t>
      </w:r>
    </w:p>
    <w:p>
      <w:pPr>
        <w:pStyle w:val="Normal"/>
        <w:spacing w:before="0" w:after="0"/>
        <w:jc w:val="center"/>
        <w:rPr>
          <w:rFonts w:ascii="Calibri" w:hAnsi="Calibri" w:cs="Calibri" w:asciiTheme="minorHAnsi" w:cstheme="minorHAnsi" w:hAnsiTheme="minorHAnsi"/>
          <w:b/>
          <w:b/>
          <w:sz w:val="20"/>
          <w:szCs w:val="20"/>
        </w:rPr>
      </w:pPr>
      <w:r>
        <w:rPr>
          <w:rFonts w:cs="Calibri" w:cstheme="minorHAnsi"/>
          <w:b/>
          <w:sz w:val="20"/>
          <w:szCs w:val="20"/>
        </w:rPr>
      </w:r>
    </w:p>
    <w:tbl>
      <w:tblPr>
        <w:tblW w:w="9356" w:type="dxa"/>
        <w:jc w:val="left"/>
        <w:tblInd w:w="-601" w:type="dxa"/>
        <w:tblLayout w:type="fixed"/>
        <w:tblCellMar>
          <w:top w:w="0" w:type="dxa"/>
          <w:left w:w="108" w:type="dxa"/>
          <w:bottom w:w="0" w:type="dxa"/>
          <w:right w:w="108" w:type="dxa"/>
        </w:tblCellMar>
        <w:tblLook w:val="04a0"/>
      </w:tblPr>
      <w:tblGrid>
        <w:gridCol w:w="1321"/>
        <w:gridCol w:w="8034"/>
      </w:tblGrid>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cs="Calibri"/>
                <w:b/>
                <w:b/>
                <w:bCs/>
                <w:color w:val="000000"/>
              </w:rPr>
            </w:pPr>
            <w:r>
              <w:rPr>
                <w:rFonts w:cs="Calibri"/>
                <w:b/>
                <w:bCs/>
                <w:color w:val="000000"/>
              </w:rPr>
              <w:t>ΚΑΔ</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cs="Calibri"/>
                <w:b/>
                <w:b/>
                <w:bCs/>
                <w:color w:val="000000"/>
              </w:rPr>
            </w:pPr>
            <w:r>
              <w:rPr>
                <w:rFonts w:cs="Calibri"/>
                <w:b/>
                <w:bCs/>
                <w:color w:val="000000"/>
              </w:rPr>
              <w:t>ΚΛΑΔΟΣ</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59.13.11.02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Υπηρεσίες εκμετάλλευσης κινηματογραφικών ταινιών                                                                                                                                                                             </w:t>
            </w:r>
          </w:p>
        </w:tc>
      </w:tr>
    </w:tbl>
    <w:p>
      <w:pPr>
        <w:pStyle w:val="Normal"/>
        <w:spacing w:before="0" w:after="0"/>
        <w:jc w:val="center"/>
        <w:rPr>
          <w:rFonts w:ascii="Calibri" w:hAnsi="Calibri" w:cs="Calibri" w:asciiTheme="minorHAnsi" w:cstheme="minorHAnsi" w:hAnsiTheme="minorHAnsi"/>
          <w:b/>
          <w:b/>
          <w:sz w:val="20"/>
          <w:szCs w:val="20"/>
        </w:rPr>
      </w:pPr>
      <w:r>
        <w:rPr>
          <w:rFonts w:cs="Calibri" w:cstheme="minorHAnsi"/>
          <w:b/>
          <w:sz w:val="20"/>
          <w:szCs w:val="20"/>
        </w:rPr>
      </w:r>
    </w:p>
    <w:p>
      <w:pPr>
        <w:pStyle w:val="Normal"/>
        <w:spacing w:before="0" w:after="0"/>
        <w:jc w:val="center"/>
        <w:rPr>
          <w:rFonts w:ascii="Calibri" w:hAnsi="Calibri" w:cs="Calibri" w:asciiTheme="minorHAnsi" w:cstheme="minorHAnsi" w:hAnsiTheme="minorHAnsi"/>
          <w:b/>
          <w:b/>
          <w:sz w:val="20"/>
          <w:szCs w:val="20"/>
        </w:rPr>
      </w:pPr>
      <w:r>
        <w:rPr>
          <w:rFonts w:cs="Calibri" w:cstheme="minorHAnsi"/>
          <w:b/>
          <w:sz w:val="20"/>
          <w:szCs w:val="20"/>
        </w:rPr>
      </w:r>
    </w:p>
    <w:p>
      <w:pPr>
        <w:pStyle w:val="Normal"/>
        <w:spacing w:before="0" w:after="0"/>
        <w:jc w:val="center"/>
        <w:rPr>
          <w:rFonts w:ascii="Calibri" w:hAnsi="Calibri" w:cs="Calibri" w:asciiTheme="minorHAnsi" w:cstheme="minorHAnsi" w:hAnsiTheme="minorHAnsi"/>
          <w:b/>
          <w:b/>
          <w:sz w:val="20"/>
          <w:szCs w:val="20"/>
        </w:rPr>
      </w:pPr>
      <w:r>
        <w:rPr>
          <w:rFonts w:cs="Calibri" w:cstheme="minorHAnsi"/>
          <w:b/>
          <w:sz w:val="20"/>
          <w:szCs w:val="20"/>
        </w:rPr>
        <w:t>ΠΑΡΑΡΤΗΜΑ Γ’ : ΠΙΝΑΚΑΣ ΚΩΔΙΚΩΝ ΑΡΙΘΜΩΝ ΔΡΑΣΤΗΡΙΟΤΗΤΑΣ ΠΟΥ ΕΠΑΝΑΛΕΙΤΟΥΡΓΟΥΝ ΚΑΙ ΠΛΗΤΤΟΝΤΑΙ ΣΕ ΟΛΗ ΤΗΝ ΕΠΙΚΡΑΤΕΙΑ</w:t>
      </w:r>
    </w:p>
    <w:p>
      <w:pPr>
        <w:pStyle w:val="Normal"/>
        <w:spacing w:before="0" w:after="0"/>
        <w:jc w:val="center"/>
        <w:rPr>
          <w:rFonts w:ascii="Calibri" w:hAnsi="Calibri" w:cs="Calibri" w:asciiTheme="minorHAnsi" w:cstheme="minorHAnsi" w:hAnsiTheme="minorHAnsi"/>
          <w:b/>
          <w:b/>
          <w:sz w:val="20"/>
          <w:szCs w:val="20"/>
        </w:rPr>
      </w:pPr>
      <w:r>
        <w:rPr>
          <w:rFonts w:cs="Calibri" w:cstheme="minorHAnsi"/>
          <w:b/>
          <w:sz w:val="20"/>
          <w:szCs w:val="20"/>
        </w:rPr>
        <w:t xml:space="preserve">(από 7/12/2020 έως 31/12/2020) </w:t>
      </w:r>
    </w:p>
    <w:p>
      <w:pPr>
        <w:pStyle w:val="Normal"/>
        <w:spacing w:before="0" w:after="0"/>
        <w:jc w:val="center"/>
        <w:rPr>
          <w:rFonts w:ascii="Calibri" w:hAnsi="Calibri" w:cs="Calibri" w:asciiTheme="minorHAnsi" w:cstheme="minorHAnsi" w:hAnsiTheme="minorHAnsi"/>
          <w:b/>
          <w:b/>
          <w:sz w:val="20"/>
          <w:szCs w:val="20"/>
        </w:rPr>
      </w:pPr>
      <w:r>
        <w:rPr>
          <w:rFonts w:cs="Calibri" w:cstheme="minorHAnsi"/>
          <w:b/>
          <w:sz w:val="20"/>
          <w:szCs w:val="20"/>
        </w:rPr>
      </w:r>
    </w:p>
    <w:p>
      <w:pPr>
        <w:pStyle w:val="Normal"/>
        <w:spacing w:before="0" w:after="0"/>
        <w:jc w:val="both"/>
        <w:rPr>
          <w:rFonts w:ascii="Calibri" w:hAnsi="Calibri" w:cs="Calibri" w:asciiTheme="minorHAnsi" w:cstheme="minorHAnsi" w:hAnsiTheme="minorHAnsi"/>
          <w:b/>
          <w:b/>
          <w:sz w:val="20"/>
          <w:szCs w:val="20"/>
        </w:rPr>
      </w:pPr>
      <w:r>
        <w:rPr/>
        <w:t xml:space="preserve">Παρατίθεται πίνακας με τον Κωδικό Αριθμό Δραστηριότητας (ΚΑΔ) κλάδων που πλήττονται. </w:t>
      </w:r>
    </w:p>
    <w:tbl>
      <w:tblPr>
        <w:tblW w:w="9356" w:type="dxa"/>
        <w:jc w:val="left"/>
        <w:tblInd w:w="-601" w:type="dxa"/>
        <w:tblLayout w:type="fixed"/>
        <w:tblCellMar>
          <w:top w:w="0" w:type="dxa"/>
          <w:left w:w="108" w:type="dxa"/>
          <w:bottom w:w="0" w:type="dxa"/>
          <w:right w:w="108" w:type="dxa"/>
        </w:tblCellMar>
        <w:tblLook w:val="04a0"/>
      </w:tblPr>
      <w:tblGrid>
        <w:gridCol w:w="1321"/>
        <w:gridCol w:w="8034"/>
      </w:tblGrid>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cs="Calibri"/>
                <w:b/>
                <w:b/>
                <w:bCs/>
                <w:color w:val="000000"/>
              </w:rPr>
            </w:pPr>
            <w:r>
              <w:rPr>
                <w:rFonts w:cs="Calibri"/>
                <w:b/>
                <w:bCs/>
                <w:color w:val="000000"/>
              </w:rPr>
              <w:t>ΚΑΔ</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cs="Calibri" w:cstheme="minorHAnsi"/>
                <w:b/>
                <w:b/>
                <w:sz w:val="20"/>
                <w:szCs w:val="20"/>
              </w:rPr>
            </w:pPr>
            <w:r>
              <w:rPr>
                <w:rFonts w:cs="Calibri"/>
                <w:b/>
                <w:bCs/>
                <w:color w:val="000000"/>
              </w:rPr>
              <w:t>ΚΛΑΔΟΣ</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cstheme="minorHAnsi"/>
                <w:color w:val="000000"/>
                <w:sz w:val="20"/>
                <w:szCs w:val="20"/>
              </w:rPr>
            </w:pPr>
            <w:r>
              <w:rPr>
                <w:rFonts w:cs="Calibri" w:cstheme="minorHAnsi"/>
                <w:sz w:val="20"/>
                <w:szCs w:val="20"/>
              </w:rPr>
              <w:t>47.59.56.16</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cstheme="minorHAnsi"/>
                <w:color w:val="000000"/>
                <w:sz w:val="20"/>
                <w:szCs w:val="20"/>
              </w:rPr>
            </w:pPr>
            <w:r>
              <w:rPr>
                <w:rFonts w:cs="Calibri" w:cstheme="minorHAnsi"/>
                <w:sz w:val="20"/>
                <w:szCs w:val="20"/>
              </w:rPr>
              <w:t xml:space="preserve">Λιανικό εμπόριο φωτιστικών διατάξεων των τύπων που χρησιμοποιούνται στα χριστουγεννιάτικα δέντρα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cstheme="minorHAnsi"/>
                <w:color w:val="000000"/>
                <w:sz w:val="20"/>
                <w:szCs w:val="20"/>
              </w:rPr>
              <w:t>47.65.67.02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cstheme="minorHAnsi"/>
                <w:color w:val="000000"/>
                <w:sz w:val="20"/>
                <w:szCs w:val="20"/>
              </w:rPr>
              <w:t>Λιανικό εμπόριο απομιμήσεων Χριστουγεννιάτικων δέντρων</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cstheme="minorHAnsi"/>
                <w:color w:val="000000"/>
                <w:sz w:val="20"/>
                <w:szCs w:val="20"/>
              </w:rPr>
              <w:t>47.65.67.06</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cstheme="minorHAnsi"/>
                <w:color w:val="000000"/>
                <w:sz w:val="20"/>
                <w:szCs w:val="20"/>
              </w:rPr>
              <w:t>Λιανικό εμπόριο εορταστικών ειδών γενικά</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cstheme="minorHAnsi"/>
                <w:color w:val="000000"/>
                <w:sz w:val="20"/>
                <w:szCs w:val="20"/>
              </w:rPr>
              <w:t>47.65.67.07</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cstheme="minorHAnsi"/>
                <w:color w:val="000000"/>
                <w:sz w:val="20"/>
                <w:szCs w:val="20"/>
              </w:rPr>
              <w:t>Λιανικό εμπόριο εορταστικών, αποκριάτικων και άλλων ψυχαγωγικών ειδών, στα οποία συμπεριλαμβάνονται τα ταχυδακτυλουργικά τεχνάσματα (τρικ) και τα είδη-εκπλήξεις</w:t>
            </w:r>
          </w:p>
        </w:tc>
      </w:tr>
    </w:tbl>
    <w:p>
      <w:pPr>
        <w:pStyle w:val="Normal"/>
        <w:spacing w:before="0" w:after="0"/>
        <w:jc w:val="center"/>
        <w:rPr>
          <w:rFonts w:ascii="Calibri" w:hAnsi="Calibri" w:cs="Calibri" w:asciiTheme="minorHAnsi" w:cstheme="minorHAnsi" w:hAnsiTheme="minorHAnsi"/>
          <w:b/>
          <w:b/>
          <w:sz w:val="20"/>
          <w:szCs w:val="20"/>
        </w:rPr>
      </w:pPr>
      <w:r>
        <w:rPr>
          <w:rFonts w:cs="Calibri" w:cstheme="minorHAnsi"/>
          <w:b/>
          <w:sz w:val="20"/>
          <w:szCs w:val="20"/>
        </w:rPr>
      </w:r>
    </w:p>
    <w:p>
      <w:pPr>
        <w:pStyle w:val="Normal"/>
        <w:spacing w:before="0" w:after="0"/>
        <w:jc w:val="center"/>
        <w:rPr>
          <w:rFonts w:ascii="Calibri" w:hAnsi="Calibri" w:cs="Calibri" w:asciiTheme="minorHAnsi" w:cstheme="minorHAnsi" w:hAnsiTheme="minorHAnsi"/>
          <w:b/>
          <w:b/>
          <w:sz w:val="20"/>
          <w:szCs w:val="20"/>
        </w:rPr>
      </w:pPr>
      <w:r>
        <w:rPr>
          <w:rFonts w:cs="Calibri" w:cstheme="minorHAnsi"/>
          <w:b/>
          <w:sz w:val="20"/>
          <w:szCs w:val="20"/>
        </w:rPr>
      </w:r>
    </w:p>
    <w:p>
      <w:pPr>
        <w:pStyle w:val="Normal"/>
        <w:spacing w:before="0" w:after="0"/>
        <w:jc w:val="center"/>
        <w:rPr>
          <w:rFonts w:ascii="Calibri" w:hAnsi="Calibri" w:cs="Calibri" w:asciiTheme="minorHAnsi" w:cstheme="minorHAnsi" w:hAnsiTheme="minorHAnsi"/>
          <w:b/>
          <w:b/>
          <w:sz w:val="20"/>
          <w:szCs w:val="20"/>
        </w:rPr>
      </w:pPr>
      <w:r>
        <w:rPr>
          <w:rFonts w:cs="Calibri" w:cstheme="minorHAnsi"/>
          <w:b/>
          <w:sz w:val="20"/>
          <w:szCs w:val="20"/>
        </w:rPr>
        <w:t>ΠΑΡΑΡΤΗΜΑ Δ’ : ΠΙΝΑΚΑΣ ΚΩΔΙΚΩΝ ΑΡΙΘΜΩΝ ΔΡΑΣΤΗΡΙΟΤΗΤΑΣ ΠΟΥ ΠΛΗΤΤΟΝΤΑΙ</w:t>
      </w:r>
    </w:p>
    <w:p>
      <w:pPr>
        <w:pStyle w:val="Normal"/>
        <w:spacing w:before="0" w:after="0"/>
        <w:jc w:val="center"/>
        <w:rPr>
          <w:rFonts w:ascii="Calibri" w:hAnsi="Calibri" w:cs="Calibri" w:asciiTheme="minorHAnsi" w:cstheme="minorHAnsi" w:hAnsiTheme="minorHAnsi"/>
          <w:b/>
          <w:b/>
          <w:sz w:val="20"/>
          <w:szCs w:val="20"/>
        </w:rPr>
      </w:pPr>
      <w:r>
        <w:rPr>
          <w:rFonts w:cs="Calibri" w:cstheme="minorHAnsi"/>
          <w:b/>
          <w:sz w:val="20"/>
          <w:szCs w:val="20"/>
        </w:rPr>
        <w:t>ΣΕ ΟΛΗ ΤΗΝ ΕΠΙΚΡΑΤΕΙΑ (από 1/12/2020 έως 31/12/2020)</w:t>
      </w:r>
    </w:p>
    <w:p>
      <w:pPr>
        <w:pStyle w:val="Normal"/>
        <w:spacing w:before="0" w:after="0"/>
        <w:jc w:val="center"/>
        <w:rPr>
          <w:rFonts w:ascii="Calibri" w:hAnsi="Calibri" w:cs="Calibri" w:asciiTheme="minorHAnsi" w:cstheme="minorHAnsi" w:hAnsiTheme="minorHAnsi"/>
          <w:b/>
          <w:b/>
          <w:sz w:val="20"/>
          <w:szCs w:val="20"/>
        </w:rPr>
      </w:pPr>
      <w:r>
        <w:rPr>
          <w:rFonts w:cs="Calibri" w:cstheme="minorHAnsi"/>
          <w:b/>
          <w:sz w:val="20"/>
          <w:szCs w:val="20"/>
        </w:rPr>
      </w:r>
    </w:p>
    <w:p>
      <w:pPr>
        <w:pStyle w:val="Normal"/>
        <w:jc w:val="both"/>
        <w:rPr>
          <w:rFonts w:ascii="Calibri" w:hAnsi="Calibri" w:cs="Calibri" w:asciiTheme="minorHAnsi" w:cstheme="minorHAnsi" w:hAnsiTheme="minorHAnsi"/>
          <w:b/>
          <w:b/>
          <w:sz w:val="20"/>
          <w:szCs w:val="20"/>
        </w:rPr>
      </w:pPr>
      <w:r>
        <w:rPr/>
        <w:t xml:space="preserve">Παρατίθεται πίνακας με τον Κωδικό Αριθμό Δραστηριότητας (ΚΑΔ) των κλάδων που πλήττονται. Σε περίπτωση τετραψήφιου ΚΑΔ συμπεριλαμβάνονται όλες οι υποκατηγορίες πενταψήφιων, εξαψήφιων και οκταψήφιων. Σε περίπτωση πενταψήφιου συμπεριλαμβάνονται όλες οι κατηγορίες εξαψήφιων και οκταψήφιων. Σε περίπτωση εξαψήφιου συμπεριλαμβάνονται όλες οι κατηγορίες οκταψήφιων. </w:t>
      </w:r>
    </w:p>
    <w:tbl>
      <w:tblPr>
        <w:tblW w:w="9356" w:type="dxa"/>
        <w:jc w:val="left"/>
        <w:tblInd w:w="-601" w:type="dxa"/>
        <w:tblLayout w:type="fixed"/>
        <w:tblCellMar>
          <w:top w:w="0" w:type="dxa"/>
          <w:left w:w="108" w:type="dxa"/>
          <w:bottom w:w="0" w:type="dxa"/>
          <w:right w:w="108" w:type="dxa"/>
        </w:tblCellMar>
        <w:tblLook w:val="04a0"/>
      </w:tblPr>
      <w:tblGrid>
        <w:gridCol w:w="1321"/>
        <w:gridCol w:w="8034"/>
      </w:tblGrid>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b/>
                <w:b/>
                <w:sz w:val="20"/>
                <w:szCs w:val="20"/>
              </w:rPr>
            </w:pPr>
            <w:r>
              <w:rPr>
                <w:rFonts w:cs="Calibri"/>
                <w:b/>
                <w:sz w:val="20"/>
                <w:szCs w:val="20"/>
              </w:rPr>
              <w:t xml:space="preserve">ΚΑΔ        </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cs="Calibri"/>
                <w:b/>
                <w:b/>
                <w:sz w:val="20"/>
                <w:szCs w:val="20"/>
              </w:rPr>
            </w:pPr>
            <w:r>
              <w:rPr>
                <w:rFonts w:cs="Calibri"/>
                <w:b/>
                <w:sz w:val="20"/>
                <w:szCs w:val="20"/>
              </w:rPr>
              <w:t>ΚΛΑΔΟΣ</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01.19.2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Καλλιέργεια ανθέων και μπουμπουκιών ανθέων σπόρων ανθέων</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01.29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Άλλες πολυετείς καλλιέργειες</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01.30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Πολλαπλασιασμός των φυτών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01.49.19.02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Εκτροφή γουνοφόρων ζώων (αλεπούς, μινκ, μυοκάστορα, τσιντσιλά και άλλων)</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01.49.3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Παραγωγή ακατέργαστων γουνοδερμάτων και διάφορων ακατέργαστων προβιών και δερμάτων</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01.63.10.12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Υπηρεσίες εκκοκκισμού βαμβακιού (εκ των υστέρων πώληση για ίδιο λογαριασμό)</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01.63.10.13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Υπηρεσίες εκκοκκισμού βαμβακιού (εκ των υστέρων πώληση για λογαριασμό τρίτων)</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02.10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Δασοκομία και άλλες δασοκομικές δραστηριότητες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02.20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Υλοτομία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02.30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Συλλογή προϊόντων αυτοφυών φυτών μη ξυλώδους μορφής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02.40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Υποστηρικτικές προς τη δασοκομία υπηρεσίες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03.11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Θαλάσσια αλιεία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03.12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Αλιεία γλυκών υδάτων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03.21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Θαλάσσια υδατοκαλλιέργεια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03.22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Υδατοκαλλιέργεια γλυκών υδάτων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sz w:val="20"/>
                <w:szCs w:val="20"/>
              </w:rPr>
            </w:pPr>
            <w:r>
              <w:rPr>
                <w:rFonts w:cs="Calibri" w:cstheme="minorHAnsi"/>
                <w:sz w:val="20"/>
                <w:szCs w:val="20"/>
              </w:rPr>
              <w:t>05.10</w:t>
            </w:r>
          </w:p>
        </w:tc>
        <w:tc>
          <w:tcPr>
            <w:tcW w:w="80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sz w:val="20"/>
                <w:szCs w:val="20"/>
              </w:rPr>
            </w:pPr>
            <w:r>
              <w:rPr>
                <w:rFonts w:cs="Calibri" w:cstheme="minorHAnsi"/>
                <w:sz w:val="20"/>
                <w:szCs w:val="20"/>
              </w:rPr>
              <w:t xml:space="preserve">Εξόρυξη λιθάνθρακα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05.20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Εξόρυξη λιγνίτη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07.10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Εξόρυξη σιδηρομεταλλεύματος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07.29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Εξόρυξη λοιπών μη σιδηρούχων μεταλλευμάτων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08.11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Εξόρυξη διακοσμητικών και οικοδομικών λίθων, ασβεστόλιθου, γύψου, κιμωλίας και σχιστόλιθου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08.12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Λειτουργία φρεάτων παραγωγής αμμοχάλικου και άμμου· εξόρυξη αργίλου και καολίνης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08.91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Εξόρυξη ορυκτών για τη χημική βιομηχανία και τη βιομηχανία λιπασμάτων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cs="Calibri"/>
                <w:sz w:val="20"/>
                <w:szCs w:val="20"/>
              </w:rPr>
            </w:pPr>
            <w:r>
              <w:rPr>
                <w:rFonts w:cs="Calibri"/>
                <w:sz w:val="20"/>
                <w:szCs w:val="20"/>
              </w:rPr>
              <w:t>08.92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cs="Calibri"/>
                <w:sz w:val="20"/>
                <w:szCs w:val="20"/>
              </w:rPr>
            </w:pPr>
            <w:r>
              <w:rPr>
                <w:rFonts w:cs="Calibri"/>
                <w:sz w:val="20"/>
                <w:szCs w:val="20"/>
              </w:rPr>
              <w:t>Εξόρυξη τύρφης</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08.93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Εξόρυξη αλατιού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08.99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Άλλες εξορυκτικές και λατομικές δραστηριότητες π.δ.κ.α.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09.10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Υποστηρικτικές δραστηριότητες για την άντληση πετρελαίου και φυσικού αερίου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09.90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Υποστηρικτικές δραστηριότητες για άλλες εξορυκτικές και λατομικές δραστηριότητες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10.11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Επεξεργασία και συντήρηση κρέατος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10.12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Επεξεργασία και συντήρηση κρέατος πουλερικών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10.13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προϊόντων κρέατος και κρέατος πουλερικών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10.20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Επεξεργασία και συντήρηση ψαριών, καρκινοειδών και μαλακίων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10.31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Επεξεργασία και συντήρηση πατατών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10.32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χυμών φρούτων και λαχανικών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10.39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Άλλη επεξεργασία και συντήρηση φρούτων και λαχανικών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10.41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ελαίων και λιπών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10.42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μαργαρίνης και παρόμοιων βρώσιμων λιπών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10.51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Λειτουργία γαλακτοκομείων και τυροκομία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10.52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Παραγωγή παγωτών</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10.61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προϊόντων αλευρόμυλων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10.62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αμύλων και προϊόντων αμύλου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10.71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Αρτοποιία παραγωγή νωπών ειδών ζαχαροπλαστικής</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10.72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παξιμαδιών και μπισκότων· παραγωγή διατηρούμενων ειδών ζαχαροπλαστικής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10.73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μακαρονιών, λαζανιών, κουσκούς και παρόμοιων αλευρωδών προϊόντων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10.81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ζάχαρης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10.82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Παραγωγή κακάου, σοκολάτας και ζαχαρωτών</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10.83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Επεξεργασία τσαγιού και καφέ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10.84</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αρτυμάτων και καρυκευμάτων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10.85</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έτοιμων γευμάτων και φαγητών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10.86</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ομογενοποιημένων παρασκευασμάτων διατροφής και διαιτητικών τροφών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10.89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άλλων ειδών διατροφής π.δ.κ.α.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10.91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παρασκευασμένων ζωοτροφών για ζώα που εκτρέφονται σε αγροκτήματα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10.92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παρασκευασμένων ζωοτροφών για ζώα συντροφιάς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11.01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Απόσταξη, ανακαθαρισμός και ανάμιξη αλκοολούχων ποτών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11.02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οίνου από σταφύλια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11.03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μηλίτη και κρασιών από άλλα φρούτα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11.04</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άλλων μη αποσταγμένων ποτών που υφίστανται ζύμωση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11.05</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Ζυθοποιία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cs="Calibri" w:cstheme="minorHAnsi"/>
                <w:sz w:val="20"/>
                <w:szCs w:val="20"/>
              </w:rPr>
            </w:pPr>
            <w:r>
              <w:rPr>
                <w:rFonts w:cs="Calibri" w:cstheme="minorHAnsi"/>
                <w:sz w:val="20"/>
                <w:szCs w:val="20"/>
              </w:rPr>
              <w:t>11.06</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cs="Calibri" w:cstheme="minorHAnsi"/>
                <w:sz w:val="20"/>
                <w:szCs w:val="20"/>
              </w:rPr>
            </w:pPr>
            <w:r>
              <w:rPr>
                <w:rFonts w:cs="Calibri" w:cstheme="minorHAnsi"/>
                <w:sz w:val="20"/>
                <w:szCs w:val="20"/>
              </w:rPr>
              <w:t>Παραγωγή βύνης</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11.07</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αναψυκτικών· παραγωγή μεταλλικού νερού και άλλων εμφιαλωμένων νερών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13.10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Προπαρασκευή και νηματοποίηση υφαντικών ινών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13.20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Ύφανση κλωστοϋφαντουργικών υλών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13.30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Τελειοποίηση (φινίρισμα) υφαντουργικών προϊόντων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13.91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πλεκτών υφασμάτων και υφασμάτων πλέξης κροσέ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13.92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έτοιμων κλωστοϋφαντουργικών ειδών, εκτός από ενδύματα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13.93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χαλιών και κιλιμιών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13.94</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χοντρών και λεπτών σχοινιών, σπάγκων και διχτυών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13.95</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μη υφασμένων ειδών και προϊόντων από μη υφασμένα είδη, εκτός από τα ενδύματα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13.96</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άλλων τεχνικών και βιομηχανικών κλωστοϋφαντουργικών ειδών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13.99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άλλων υφαντουργικών προϊόντων π.δ.κ.α.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14.11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δερμάτινων ενδυμάτων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14.12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ενδυμάτων εργασίας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14.13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άλλων εξωτερικών ενδυμάτων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14.14</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εσωρούχων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14.19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άλλων ενδυμάτων και εξαρτημάτων ένδυσης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14.20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γούνινων ειδών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14.31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ειδών καλτσοποιίας απλής πλέξης και πλέξης κροσέ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14.39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άλλων πλεκτών ειδών και ειδών πλέξης κροσέ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15.11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Κατεργασία και δέψη δέρματος κατεργασία και βαφή γουναρικών</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15.12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ειδών ταξιδιού (αποσκευών), τσαντών και παρόμοιων ειδών, ειδών σελοποιίας και σαγματοποιίας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15.20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υποδημάτων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16.10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Πριόνισμα, πλάνισμα και εμποτισμός ξύλου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16.21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αντικολλητών (κόντρα-πλακέ) και άλλων πλακών με βάση το ξύλο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16.22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συναρμολογούμενων δαπέδων παρκέ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16.23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άλλων ξυλουργικών προϊόντων οικοδομικής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16.24</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ξύλινων εμπορευματοκιβώτιων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16.29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Κατασκευή άλλων προϊόντων από ξύλο κατασκευή ειδών από φελλό και ειδών καλαθοποιίας και σπαρτοπλεκτικής</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17.11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χαρτοπολτού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17.12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χαρτιού και χαρτονιού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17.21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κυματοειδούς χαρτιού και χαρτονιού και εμπορευματοκιβώτιων από χαρτί και χαρτόνι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17.22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χάρτινων ειδών οικιακής χρήσης, ειδών υγιεινής και ειδών τουαλέτας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17.23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ειδών χαρτοπωλείου (χαρτικών)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cs="Calibri" w:cstheme="minorHAnsi"/>
                <w:sz w:val="20"/>
                <w:szCs w:val="20"/>
              </w:rPr>
            </w:pPr>
            <w:r>
              <w:rPr>
                <w:rFonts w:cs="Calibri" w:cstheme="minorHAnsi"/>
                <w:sz w:val="20"/>
                <w:szCs w:val="20"/>
              </w:rPr>
              <w:t>17.24</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cs="Calibri" w:cstheme="minorHAnsi"/>
                <w:sz w:val="20"/>
                <w:szCs w:val="20"/>
              </w:rPr>
            </w:pPr>
            <w:r>
              <w:rPr>
                <w:rFonts w:cs="Calibri" w:cstheme="minorHAnsi"/>
                <w:sz w:val="20"/>
                <w:szCs w:val="20"/>
              </w:rPr>
              <w:t>Κατασκευή χαρτιού για επενδύσεις τοίχων (ταπετσαρίας)</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17.29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άλλων ειδών από χαρτί και χαρτόνι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18.11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Εκτύπωση εφημερίδων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18.12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Άλλες εκτυπωτικές δραστηριότητες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18.13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Υπηρεσίες προεκτύπωσης και προεγγραφής μέσων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18.14</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Βιβλιοδετικές και συναφείς δραστηριότητες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18.20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Αναπαραγωγή προεγγεγραμμένων μέσων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19.10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προϊόντων οπτανθρακοποίησης (κοκοποίησης)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20.11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βιομηχανικών αερίων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20.12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χρωστικών υλών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20.13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άλλων ανόργανων βασικών χημικών ουσιών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20.14</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άλλων οργανικών βασικών χημικών ουσιών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20.15</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λιπασμάτων και αζωτούχων ενώσεων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20.16</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πλαστικών σε πρωτογενείς μορφές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20.17</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συνθετικού ελαστικού (συνθετικού καουτσούκ) σε πρωτογενείς μορφές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20.20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παρασιτοκτόνων και άλλων αγροχημικών προϊόντων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20.30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Παραγωγή χρωμάτων, βερνικιών και παρόμοιων επιχρισμάτων, μελανιών τυπογραφίας και μαστιχών</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20.41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σαπουνιών και απορρυπαντικών, προϊόντων καθαρισμού και στίλβωσης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20.42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Παραγωγή αρωμάτων και παρασκευασμάτων καλλωπισμού</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20.51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εκρηκτικών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20.52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διαφόρων τύπων κόλλας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20.53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αιθέριων ελαίων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20.59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άλλων χημικών προϊόντων π.δ.κ.α.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20.60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μη φυσικών ινών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22.11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επισώτρων (ελαστικών οχημάτων) και σωλήνων από καουτσούκ· αναγόμωση και ανακατασκευή επισώτρων (ελαστικών οχημάτων) από καουτσούκ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22.19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άλλων προϊόντων από ελαστικό (καουτσούκ)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22.21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πλαστικών πλακών, φύλλων, σωλήνων και καθορισμένων μορφών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22.22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πλαστικών ειδών συσκευασίας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22.23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πλαστικών οικοδομικών υλικών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22.29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άλλων πλαστικών προϊόντων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23.11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επίπεδου γυαλιού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23.12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Μορφοποίηση και κατεργασία επίπεδου γυαλιού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23.13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κοίλου γυαλιού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cs="Calibri" w:cstheme="minorHAnsi"/>
                <w:sz w:val="20"/>
                <w:szCs w:val="20"/>
              </w:rPr>
            </w:pPr>
            <w:r>
              <w:rPr>
                <w:rFonts w:cs="Calibri" w:cstheme="minorHAnsi"/>
                <w:sz w:val="20"/>
                <w:szCs w:val="20"/>
              </w:rPr>
              <w:t>23.14</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cs="Calibri" w:cstheme="minorHAnsi"/>
                <w:sz w:val="20"/>
                <w:szCs w:val="20"/>
              </w:rPr>
            </w:pPr>
            <w:r>
              <w:rPr>
                <w:rFonts w:cs="Calibri" w:cstheme="minorHAnsi"/>
                <w:sz w:val="20"/>
                <w:szCs w:val="20"/>
              </w:rPr>
              <w:t>Κατασκευή ινών γυαλιού</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23.19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και κατεργασία άλλων ειδών γυαλιού, περιλαμβανομένου του γυαλιού για τεχνικές χρήσεις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23.20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πυρίμαχων προϊόντων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23.31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κεραμικών πλακιδίων και πλακών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23.32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τούβλων, πλακιδίων και λοιπών δομικών προϊόντων από οπτή γη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23.41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κεραμικών ειδών οικιακής χρήσης και κεραμικών διακοσμητικών ειδών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23.42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κεραμικών ειδών υγιεινής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cs="Calibri" w:cstheme="minorHAnsi"/>
                <w:sz w:val="20"/>
                <w:szCs w:val="20"/>
              </w:rPr>
            </w:pPr>
            <w:r>
              <w:rPr>
                <w:rFonts w:cs="Calibri" w:cstheme="minorHAnsi"/>
                <w:sz w:val="20"/>
                <w:szCs w:val="20"/>
              </w:rPr>
              <w:t>23.43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cs="Calibri" w:cstheme="minorHAnsi"/>
                <w:sz w:val="20"/>
                <w:szCs w:val="20"/>
              </w:rPr>
            </w:pPr>
            <w:r>
              <w:rPr>
                <w:rFonts w:cs="Calibri" w:cstheme="minorHAnsi"/>
                <w:sz w:val="20"/>
                <w:szCs w:val="20"/>
              </w:rPr>
              <w:t>Κατασκευή κεραμικών μονωτών και κεραμικών μονωτικών εξαρτημάτων</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cs="Calibri" w:cstheme="minorHAnsi"/>
                <w:sz w:val="20"/>
                <w:szCs w:val="20"/>
              </w:rPr>
            </w:pPr>
            <w:r>
              <w:rPr>
                <w:rFonts w:cs="Calibri" w:cstheme="minorHAnsi"/>
                <w:sz w:val="20"/>
                <w:szCs w:val="20"/>
              </w:rPr>
              <w:t>23.44</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cs="Calibri" w:cstheme="minorHAnsi"/>
                <w:sz w:val="20"/>
                <w:szCs w:val="20"/>
              </w:rPr>
            </w:pPr>
            <w:r>
              <w:rPr>
                <w:rFonts w:cs="Calibri" w:cstheme="minorHAnsi"/>
                <w:sz w:val="20"/>
                <w:szCs w:val="20"/>
              </w:rPr>
              <w:t>Κατασκευή άλλων κεραμικών προϊόντων για τεχνικές χρήσεις</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23.49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άλλων προϊόντων κεραμικής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23.51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τσιμέντου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23.52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ασβέστη και γύψου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23.61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δομικών προϊόντων από σκυρόδεμα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23.62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δομικών προϊόντων από γύψο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23.63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έτοιμου σκυροδέματος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23.64</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κονιαμάτων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23.65</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ινοτσιμέντου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23.69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άλλων προϊόντων από σκυρόδεμα, γύψο και τσιμέντο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23.70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Κοπή, μορφοποίηση και τελική επεξεργασία λίθων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23.91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λειαντικών προϊόντων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23.99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άλλων μη μεταλλικών ορυκτών προϊόντων π.δ.κ.α.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24.10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βασικού σιδήρου, χάλυβα και σιδηροκραμάτων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24.20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χαλύβδινων σωλήνων, αγωγών, κοίλων ειδών με καθορισμένη μορφή και συναφών εξαρτημάτων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24.31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Ψυχρή επεκτατική ολκή ράβδων χάλυβα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24.32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Ψυχρή έλαση στενών φύλλων χάλυβα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24.33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Ψυχρή μορφοποίηση ή δίπλωση μορφοράβδων χάλυβα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24.34</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Ψυχρή επεκτατική ολκή συρμάτων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24.41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πολύτιμων μετάλλων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24.42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αλουμίνιου (αργίλιου)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24.43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μολύβδου, ψευδάργυρου και κασσίτερου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24.44</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χαλκού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24.45</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Παραγωγή άλλων μη σιδηρούχων μετάλλων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cs="Calibri" w:cstheme="minorHAnsi"/>
                <w:sz w:val="20"/>
                <w:szCs w:val="20"/>
              </w:rPr>
            </w:pPr>
            <w:r>
              <w:rPr>
                <w:rFonts w:cs="Calibri" w:cstheme="minorHAnsi"/>
                <w:sz w:val="20"/>
                <w:szCs w:val="20"/>
              </w:rPr>
              <w:t>24.46</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cs="Calibri" w:cstheme="minorHAnsi"/>
                <w:sz w:val="20"/>
                <w:szCs w:val="20"/>
              </w:rPr>
            </w:pPr>
            <w:r>
              <w:rPr>
                <w:rFonts w:cs="Calibri" w:cstheme="minorHAnsi"/>
                <w:sz w:val="20"/>
                <w:szCs w:val="20"/>
              </w:rPr>
              <w:t>Επεξεργασία πυρηνικών καυσίμων</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24.51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Χύτευση σιδήρου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24.52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Χύτευση χάλυβα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24.53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Χύτευση ελαφρών μετάλλων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24.54</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Χύτευση άλλων μη σιδηρούχων μετάλλων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25.11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μεταλλικών σκελετών και μερών μεταλλικών σκελετών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25.12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μεταλλικών πορτών και παράθυρων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25.21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σωμάτων και λεβήτων κεντρικής θέρμανσης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25.29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άλλων μεταλλικών ντεπόζιτων, δεξαμενών και δοχείων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25.30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ατμογεννητριών, με εξαίρεση τους λέβητες ζεστού νερού για την κεντρική θέρμανση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25.50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Σφυρηλάτηση, κοίλανση, ανισόπαχη τύπωση και μορφοποίηση μετάλλων με έλαση· κονιομεταλλουργία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25.61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Κατεργασία και επικάλυψη μετάλλων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25.62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Μεταλλοτεχνία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25.71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μαχαιροπίρουνων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25.72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κλειδαριών και μεντεσέδων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25.73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εργαλείων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25.91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χαλύβδινων βαρελιών και παρόμοιων δοχείων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25.92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Κατασκευή ελαφρών μεταλλικών ειδών συσκευασίας</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25.93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ειδών από σύρμα, αλυσίδων και ελατηρίων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25.94</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συνδετήρων και προϊόντων κοχλιομηχανών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25.99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Κατασκευή άλλων μεταλλικών προϊόντων πδκα</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26.11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ηλεκτρονικών εξαρτημάτων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26.12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έμφορτων ηλεκτρονικών πλακετών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26.20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ηλεκτρονικών υπολογιστών και περιφερειακού εξοπλισμού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26.30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εξοπλισμού επικοινωνίας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26.40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ηλεκτρονικών ειδών ευρείας κατανάλωσης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26.51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Κατασκευή οργάνων και συσκευών μέτρησης, δοκιμών και πλοήγησης</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26.52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ρολογιών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26.60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Κατασκευή ακτινολογικών και ηλεκτρονικών μηχανημάτων ιατρικής και θεραπευτικής χρήσης</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26.70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οπτικών οργάνων και φωτογραφικού εξοπλισμού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26.80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μαγνητικών και οπτικών μέσων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27.11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ηλεκτροκινητήρων, ηλεκτρογεννητριών και ηλεκτρικών μετασχηματιστών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27.12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συσκευών διανομής και ελέγχου ηλεκτρικού ρεύματος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27.20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ηλεκτρικών στηλών και συσσωρευτών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27.31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καλωδίων οπτικών ινών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27.32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άλλων ηλεκτρονικών και ηλεκτρικών συρμάτων και καλωδίων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27.33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εξαρτημάτων καλωδίωσης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27.40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Κατασκευή ηλεκτρολογικού φωτιστικού εξοπλισμού</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27.51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ηλεκτρικών οικιακών συσκευών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27.52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μη ηλεκτρικών οικιακών συσκευών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27.90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άλλου ηλεκτρικού εξοπλισμού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28.11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κινητήρων και στροβίλων, με εξαίρεση τους κινητήρες αεροσκαφών, οχημάτων και δικύκλων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28.12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εξοπλισμού υδραυλικής ενέργειας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28.13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άλλων αντλιών και συμπιεστών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28.14</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άλλων ειδών κρουνοποιίας και βαλβίδων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28.15</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τριβέων, οδοντωτών μηχανισμών μετάδοσης κίνησης, στοιχείων οδοντωτών τροχών και μετάδοσης κίνησης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28.21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φούρνων, κλιβάνων και καυστήρων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28.22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εξοπλισμού ανύψωσης και διακίνησης φορτίων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28.23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μηχανών και εξοπλισμού γραφείου (εκτός ηλεκτρονικών υπολογιστών και περιφερειακού εξοπλισμού)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cs="Calibri" w:cstheme="minorHAnsi"/>
                <w:sz w:val="20"/>
                <w:szCs w:val="20"/>
              </w:rPr>
            </w:pPr>
            <w:r>
              <w:rPr>
                <w:rFonts w:cs="Calibri" w:cstheme="minorHAnsi"/>
                <w:sz w:val="20"/>
                <w:szCs w:val="20"/>
              </w:rPr>
              <w:t>28.24</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cs="Calibri" w:cstheme="minorHAnsi"/>
                <w:sz w:val="20"/>
                <w:szCs w:val="20"/>
              </w:rPr>
            </w:pPr>
            <w:r>
              <w:rPr>
                <w:rFonts w:cs="Calibri" w:cstheme="minorHAnsi"/>
                <w:sz w:val="20"/>
                <w:szCs w:val="20"/>
              </w:rPr>
              <w:t>Κατασκευή ηλεκτροκίνητων εργαλείων χειρός</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28.25</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ψυκτικού και κλιματιστικού εξοπλισμού μη οικιακής χρήσης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28.29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άλλων μηχανημάτων γενικής χρήσης π.δ.κ.α.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28.30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γεωργικών και δασοκομικών μηχανημάτων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28.41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μηχανημάτων μορφοποίησης μετάλλου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28.49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άλλων εργαλειομηχανών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28.91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μηχανημάτων για τη μεταλλουργία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28.92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μηχανημάτων για τα ορυχεία, τα λατομεία και τις δομικές κατασκευές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28.93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μηχανημάτων επεξεργασίας τροφίμων, ποτών και καπνού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28.94</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μηχανημάτων για τη βιομηχανία κλωστοϋφαντουργικών προϊόντων, ενδυμάτων ή δερμάτινων ειδών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28.95</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μηχανημάτων για την παραγωγή χαρτιού και χαρτονιού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28.96</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μηχανημάτων παραγωγής πλαστικών και ελαστικών ειδών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28.99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άλλων μηχανημάτων ειδικής χρήσης π.δ.κ.α.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29.10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μηχανοκίνητων οχημάτων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29.20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αμαξωμάτων για μηχανοκίνητα οχήματα· κατασκευή ρυμουλκούμενων και ημιρυμουλκούμενων οχημάτων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29.31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ηλεκτρικού και ηλεκτρονικού εξοπλισμού για μηχανοκίνητα οχήματα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29.32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άλλων μερών και εξαρτημάτων για μηχανοκίνητα οχήματα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30.11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Ναυπήγηση πλοίων και πλωτών κατασκευών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30.12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Ναυπήγηση σκαφών αναψυχής και αθλητισμού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30.20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σιδηροδρομικών αμαξών και τροχαίου υλικού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30.30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αεροσκαφών και διαστημόπλοιων και συναφών μηχανημάτων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30.91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μοτοσικλετών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30.92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Κατασκευή ποδηλάτων και αναπηρικών αμαξιδίων</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30.99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λοιπού εξοπλισμού μεταφορών π.δ.κ.α.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31.01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επίπλων για γραφεία και καταστήματα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31.02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επίπλων κουζίνας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31.03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στρωμάτων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31.09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άλλων επίπλων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32.11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Κοπή νομισμάτων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32.12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κοσμημάτων και συναφών ειδών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32.13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κοσμημάτων απομίμησης και συναφών ειδών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32.20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μουσικών οργάνων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32.30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αθλητικών ειδών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32.40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παιχνιδιών κάθε είδους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32.50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Κατασκευή ιατρικών και οδοντιατρικών οργάνων και προμηθειών</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32.91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σκουπών και βουρτσών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32.99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Άλλες μεταποιητικές δραστηριότητες πδκα</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33.11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Επισκευή μεταλλικών προϊόντων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33.12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Επισκευή μηχανημάτων</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33.13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Επισκευή ηλεκτρονικού και οπτικού εξοπλισμού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33.14</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Επισκευή ηλεκτρικού εξοπλισμού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33.15</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Επισκευή και συντήρηση πλοίων και σκαφών</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33.16</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Επισκευή και συντήρηση αεροσκαφών και διαστημόπλοιων</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33.17</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Επισκευή και συντήρηση άλλου εξοπλισμού μεταφορών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33.19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Επισκευή άλλου εξοπλισμού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33.20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Εγκατάσταση βιομηχανικών μηχανημάτων και εξοπλισμού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35.13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Διανομή ηλεκτρικού ρεύματος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35.14</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Εμπόριο ηλεκτρικού ρεύματος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35.22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Διανομή αέριων καυσίμων μέσω αγωγών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35.23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Εμπόριο αέριων καυσίμων μέσω αγωγών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35.30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Παροχή ατμού και κλιματισμού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37.00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Επεξεργασία λυμάτων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38.11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Συλλογή μη επικίνδυνων απορριμμάτων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38.12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Συλλογή επικίνδυνων απορριμμάτων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38.21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Επεξεργασία και διάθεση μη επικίνδυνων απορριμμάτων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38.22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Επεξεργασία και διάθεση επικίνδυνων απορριμμάτων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38.31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Αποσυναρμολόγηση παλαιών ειδών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38.32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Ανάκτηση διαλεγμένου υλικού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39.00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εξυγίανσης και άλλες υπηρεσίες για τη διαχείριση αποβλήτων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41.10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Ανάπτυξη οικοδομικών σχεδίων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41.20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Κατασκευαστικές εργασίες κτιρίων για κατοικίες και μη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42.11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δρόμων και αυτοκινητοδρόμων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42.12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σιδηροδρομικών γραμμών και υπόγειων σιδηροδρόμων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42.13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γεφυρών και σηράγγων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42.21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κοινωφελών έργων σχετικών με μεταφορά υγρών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42.22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κοινωφελών έργων ηλεκτρικής ενέργειας και τηλεπικοινωνιών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42.91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υδραυλικών και λιμενικών έργων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42.99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Κατασκευή άλλων έργων πολιτικού μηχανικού π.δ.κ.α.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43.11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Κατεδαφίσεις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43.12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Προετοιμασία εργοτάξιου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43.13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Δοκιμαστικές γεωτρήσεις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43.21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Ηλεκτρικές εγκαταστάσεις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43.22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Υδραυλικές και κλιματιστικές εγκαταστάσεις θέρμανσης και ψύξης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43.29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Άλλες κατασκευαστικές εγκαταστάσεις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43.31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Επιχρίσεις κονιαμάτων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43.32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Ξυλουργικές εργασίες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43.33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Επενδύσεις δαπέδων και τοίχων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43.34</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Χρωματισμοί και τοποθέτηση υαλοπινάκων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43.39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Άλλες κατασκευαστικές εργασίες ολοκλήρωσης και τελειώματος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43.91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κατασκευής στεγών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43.99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Άλλες εξειδικευμένες κατασκευαστικές δραστηριότητες π.δ.κ.α.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45.11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Πώληση αυτοκινήτων και ελαφρών μηχανοκίνητων οχημάτων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45.19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Πώληση άλλων μηχανοκίνητων οχημάτων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45.20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Συντήρηση και επισκευή μηχανοκίνητων οχημάτων</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45.31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Χονδρικό εμπόριο μερών και εξαρτημάτων μηχανοκίνητων οχημάτων</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45.32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Λιανικό εμπόριο μερών και εξαρτημάτων μηχανοκίνητων οχημάτων σε εξειδικευμένα καταστήματα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45.40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Πώληση, συντήρηση και επισκευή μοτοσικλετών και των μερών και εξαρτημάτων τους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46.11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Εμπορικοί αντιπρόσωποι που μεσολαβούν στην πώληση γεωργικών πρώτων υλών, ζώντων ζώων, κλωστοϋφαντουργικών πρώτων υλών και ημιτελών προϊόντων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46.12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Εμπορικοί αντιπρόσωποι που μεσολαβούν στην πώληση καυσίμων, μεταλλευμάτων, μετάλλων και βιομηχανικών χημικών προϊόντων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46.13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Εμπορικοί αντιπρόσωποι που μεσολαβούν στην πώληση ξυλείας και οικοδομικών υλικών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46.14</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Εμπορικοί αντιπρόσωποι που μεσολαβούν στην πώληση μηχανημάτων, βιομηχανικού εξοπλισμού, πλοίων και αεροσκαφών</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46.15</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Εμπορικοί αντιπρόσωποι που μεσολαβούν στην πώληση επίπλων, ειδών οικιακής χρήσης, σιδηρικών και ειδών κιγκαλερίας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46.16</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Εμπορικοί αντιπρόσωποι που μεσολαβούν στην πώληση κλωστοϋφαντουργικών προϊόντων, ενδυμάτων, γουναρικών, υποδημάτων και δερμάτινων προϊόντων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46.17</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Εμπορικοί αντιπρόσωποι που μεσολαβούν στην πώληση τροφίμων, ποτών και καπνού</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46.18</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Εμπορικοί αντιπρόσωποι ειδικευμένοι στην πώληση άλλων συγκεκριμένων προϊόντων, εκτός από Εμπορικοί αντιπρόσωποι που μεσολαβούν στην πώληση βασικών φαρμακευτικών προϊόντων (46.18.11.03), Εμπορικοί αντιπρόσωποι που μεσολαβούν στην πώληση εργαστηριακών ειδών, ιατροφαρμακευτικών ειδών υγιεινής ή φαρμακευτικών ειδών (46.18.11.04), Εμπορικοί αντιπρόσωποι που μεσολαβούν στην πώληση ιατρικών αναλώσιμων υλικών (46.18.11.05), Εμπορικοί αντιπρόσωποι που μεσολαβούν στην πώληση σαπουνιών και απορρυπαντικών, προϊόντων καθαρισμού και στιλβωτικών (46.18.11.07), Εμπορικοί αντιπρόσωποι που μεσολαβούν στην πώληση φαρμακευτικών σκευασμάτων (46.18.11.08)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sz w:val="20"/>
                <w:szCs w:val="20"/>
              </w:rPr>
            </w:pPr>
            <w:r>
              <w:rPr>
                <w:rFonts w:cs="Calibri" w:cstheme="minorHAnsi"/>
                <w:sz w:val="20"/>
                <w:szCs w:val="20"/>
              </w:rPr>
              <w:t>46.18.11.01</w:t>
            </w:r>
          </w:p>
        </w:tc>
        <w:tc>
          <w:tcPr>
            <w:tcW w:w="80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sz w:val="20"/>
                <w:szCs w:val="20"/>
              </w:rPr>
            </w:pPr>
            <w:r>
              <w:rPr>
                <w:rFonts w:cs="Calibri" w:cstheme="minorHAnsi"/>
                <w:sz w:val="20"/>
                <w:szCs w:val="20"/>
              </w:rPr>
              <w:t>Εμπορικοί αντιπρόσωποι που μεσολαβούν στην πώληση ακτινολογικών και ηλεκτρονικών μηχανημάτων και λοιπού εξοπλισμού ιατρικής και θεραπευτικής χρήσης</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sz w:val="20"/>
                <w:szCs w:val="20"/>
              </w:rPr>
            </w:pPr>
            <w:r>
              <w:rPr>
                <w:rFonts w:cs="Calibri" w:cstheme="minorHAnsi"/>
                <w:sz w:val="20"/>
                <w:szCs w:val="20"/>
              </w:rPr>
              <w:t>46.18.11.02</w:t>
            </w:r>
          </w:p>
        </w:tc>
        <w:tc>
          <w:tcPr>
            <w:tcW w:w="80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sz w:val="20"/>
                <w:szCs w:val="20"/>
              </w:rPr>
            </w:pPr>
            <w:r>
              <w:rPr>
                <w:rFonts w:cs="Calibri" w:cstheme="minorHAnsi"/>
                <w:sz w:val="20"/>
                <w:szCs w:val="20"/>
              </w:rPr>
              <w:t>Εμπορικοί αντιπρόσωποι που μεσολαβούν στην πώληση αρωμάτων και παρασκευασμάτων καλλωπισμού</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sz w:val="20"/>
                <w:szCs w:val="20"/>
              </w:rPr>
            </w:pPr>
            <w:r>
              <w:rPr>
                <w:rFonts w:cs="Calibri" w:cstheme="minorHAnsi"/>
                <w:sz w:val="20"/>
                <w:szCs w:val="20"/>
              </w:rPr>
              <w:t>46.18.11.06</w:t>
            </w:r>
          </w:p>
        </w:tc>
        <w:tc>
          <w:tcPr>
            <w:tcW w:w="80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cstheme="minorHAnsi"/>
                <w:sz w:val="20"/>
                <w:szCs w:val="20"/>
              </w:rPr>
            </w:pPr>
            <w:r>
              <w:rPr>
                <w:rFonts w:cs="Calibri" w:cstheme="minorHAnsi"/>
                <w:sz w:val="20"/>
                <w:szCs w:val="20"/>
              </w:rPr>
              <w:t>Εμπορικοί αντιπρόσωποι που μεσολαβούν στην πώληση ιατρικών και οδοντιατρικών οργάνων, μηχανημάτων και εργαλείων</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46.19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Εμπορικοί αντιπρόσωποι που μεσολαβούν στην πώληση διαφόρων ειδών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46.21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Χονδρικό εμπόριο σιτηρών, ακατέργαστου καπνού, σπόρων και ζωοτροφών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46.22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Χονδρικό εμπόριο λουλουδιών και φυτών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46.23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Χονδρικό εμπόριο ζώντων ζώων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46.24</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Χονδρικό εμπόριο δερμάτων, προβιών και κατεργασμένου δέρματος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46.31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Χονδρικό εμπόριο φρούτων και λαχανικών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46.32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Χονδρικό εμπόριο κρέατος και προϊόντων κρέατος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46.33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Χονδρικό εμπόριο γαλακτοκομικών προϊόντων, αβγών και βρώσιμων ελαίων και λιπών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46.34</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Χονδρικό εμπόριο ποτών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46.36</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Χονδρικό εμπόριο ζάχαρης, σοκολάτας και ειδών ζαχαροπλαστικής</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46.37</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Χονδρικό εμπόριο καφέ, τσαγιού, κακάου και μπαχαρικών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46.38</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Χονδρικό εμπόριο άλλων τροφίμων, συμπεριλαμβανομένων ψαριών, καρκινοειδών και μαλακίων</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46.39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Μη εξειδικευμένο χονδρικό εμπόριο τροφίμων, ποτών και καπνού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46.41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Χονδρικό εμπόριο κλωστοϋφαντουργικών προϊόντων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46.42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Χονδρικό εμπόριο ενδυμάτων και υποδημάτων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46.43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Χονδρικό εμπόριο ηλεκτρικών οικιακών συσκευών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46.44</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Χονδρικό εμπόριο ειδών πορσελάνης και γυαλικών και υλικών καθαρισμού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46.45</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Χονδρικό εμπόριο αρωμάτων και καλλυντικών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46.46.12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Χονδρικό εμπόριο χειρουργικών, ιατρικών και ορθοπεδικών οργάνων και συσκευών</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46.47</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Χονδρικό εμπόριο επίπλων, χαλιών και φωτιστικών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46.48</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Χονδρικό εμπόριο ρολογιών και κοσμημάτων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46.49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Χονδρικό εμπόριο άλλων ειδών οικιακής χρήσης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46.51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Χονδρικό εμπόριο ηλεκτρονικών υπολογιστών, περιφερειακού εξοπλισμού υπολογιστών και λογισμικού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46.52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Χονδρικό εμπόριο ηλεκτρονικού και τηλεπικοινωνιακού εξοπλισμού και εξαρτημάτων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46.61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Χονδρικό εμπόριο γεωργικών μηχανημάτων, εξοπλισμού και προμηθειών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46.62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Χονδρικό εμπόριο εργαλειομηχανών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46.63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Χονδρικό εμπόριο εξορυκτικών μηχανημάτων, καθώς και μηχανημάτων για κατασκευαστικά έργα και έργα πολιτικού μηχανικού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46.64</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Χονδρικό εμπόριο μηχανημάτων για την κλωστοϋφαντουργική βιομηχανία, και χονδρικό εμπόριο ραπτομηχανών και πλεκτομηχανών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46.65</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Χονδρικό εμπόριο επίπλων γραφείου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46.66</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Χονδρικό εμπόριο άλλων μηχανών και εξοπλισμού γραφείου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46.69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Χονδρικό εμπόριο άλλων μηχανημάτων και εξοπλισμού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46.72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Χονδρικό εμπόριο μετάλλων και μεταλλευμάτων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46.73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Χονδρικό εμπόριο ξυλείας, οικοδομικών υλικών και ειδών υγιεινής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46.74</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Χονδρικό εμπόριο σιδηρικών, υδραυλικών ειδών και εξοπλισμού και προμηθειών για εγκαταστάσεις θέρμανσης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46.75</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Χονδρικό εμπόριο χημικών προϊόντων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46.76</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Χονδρικό εμπόριο άλλων ενδιάμεσων προϊόντων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46.77</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Χονδρικό εμπόριο απορριμμάτων και υπολειμμάτων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46.90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Μη εξειδικευμένο χονδρικό εμπόριο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47.19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Άλλο λιανικό εμπόριο σε μη εξειδικευμένα καταστήματα, εκτός από Εκμετάλλευση καταστήματος ψιλικών ειδών γενικά (47.19.10.01)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47.23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Λιανικό εμπόριο ψαριών, καρκινοειδών και μαλακίων σε εξειδικευμένα καταστήματα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47.24</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Λιανικό εμπόριο ψωμιού, αρτοσκευασμάτων και λοιπών ειδών αρτοποιίας και ζαχαροπλαστικής σε εξειδικευμένα καταστήματα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47.25</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Λιανικό εμπόριο ποτών σε εξειδικευμένα καταστήματα</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47.29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Λιανικό εμπόριο άλλων τροφίμων σε εξειδικευμένα καταστήματα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47.30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Λιανικό εμπόριο καυσίμων κίνησης σε εξειδικευμένα καταστήματα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47.41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Λιανικό εμπόριο ηλεκτρονικών υπολογιστών, περιφερειακών μονάδων υπολογιστών και λογισμικού σε εξειδικευμένα καταστήματα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47.42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Λιανικό εμπόριο τηλεπικοινωνιακού εξοπλισμού σε εξειδικευμένα καταστήματα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47.43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Λιανικό εμπόριο εξοπλισμού ήχου και εικόνας σε εξειδικευμένα καταστήματα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47.51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Λιανικό εμπόριο κλωστοϋφαντουργικών προϊόντων σε εξειδικευμένα καταστήματα                                                                                                                                                                                       </w:t>
            </w:r>
          </w:p>
        </w:tc>
      </w:tr>
      <w:tr>
        <w:trPr>
          <w:trHeight w:val="698"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47.52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Λιανικό εμπόριο σιδηρικών, χρωμάτων και τζαμιών σε εξειδικευμένα καταστήματα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47.53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Λιανικό εμπόριο χαλιών, κιλιμιών και επενδύσεων δαπέδου και τοίχου σε εξειδικευμένα καταστήματα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47.54</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Λιανικό εμπόριο ηλεκτρικών οικιακών συσκευών σε εξειδικευμένα καταστήματα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47.59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Λιανικό εμπόριο επίπλων, φωτιστικών και άλλων ειδών οικιακής χρήσης σε εξειδικευμένα καταστήματα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47.61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Λιανικό εμπόριο βιβλίων σε εξειδικευμένα καταστήματα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47.62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Λιανικό εμπόριο εφημερίδων και γραφικής ύλης σε εξειδικευμένα καταστήματα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47.63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Λιανικό εμπόριο εγγραφών μουσικής και εικόνας σε εξειδικευμένα καταστήματα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47.64</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Λιανικό εμπόριο αθλητικού εξοπλισμού σε εξειδικευμένα καταστήματα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47.65</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Λιανικό εμπόριο παιχνιδιών κάθε είδους σε εξειδικευμένα καταστήματα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47.71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Λιανικό εμπόριο ενδυμάτων σε εξειδικευμένα καταστήματα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47.72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Λιανικό εμπόριο υποδημάτων και δερμάτινων ειδών σε εξειδικευμένα καταστήματα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47.74</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Λιανικό εμπόριο ιατρικών και ορθοπεδικών ειδών σε εξειδικευμένα καταστήματα</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47.75</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Λιανικό εμπόριο καλλυντικών και ειδών καλλωπισμού σε εξειδικευμένα καταστήματα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47.76</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Λιανικό εμπόριο λουλουδιών, φυτών, σπόρων, λιπασμάτων, ζώων συντροφιάς και σχετικών ζωοτροφών σε εξειδικευμένα καταστήματα</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47.77</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Λιανικό εμπόριο ρολογιών και κοσμημάτων σε εξειδικευμένα καταστήματα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47.78</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Άλλο λιανικό εμπόριο καινούργιων ειδών σε εξειδικευμένα καταστήματα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47.79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Λιανικό εμπόριο μεταχειρισμένων ειδών σε καταστήματα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47.81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Λιανικό εμπόριο τροφίμων, ποτών και καπνού, σε υπαίθριους πάγκους και αγορές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47.82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Λιανικό εμπόριο κλωστοϋφαντουργικών προϊόντων, ενδυμάτων και υποδημάτων, σε υπαίθριους πάγκους και αγορές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47.89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Λιανικό εμπόριο άλλων ειδών σε υπαίθριους πάγκους και αγορές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47.91.71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Λιανικό εμπόριο ειδών ιματισμού, με αλληλογραφία ή μέσω διαδίκτυου</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47.91.72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Λιανικό εμπόριο υποδημάτων, με αλληλογραφία ή μέσω διαδίκτυου</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47.91.73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Λιανικό εμπόριο δερμάτινων ειδών και ειδών ταξιδιού, με αλληλογραφία ή μέσω διαδίκτυου</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47.99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Άλλο λιανικό εμπόριο εκτός καταστημάτων, υπαίθριων πάγκων ή αγορών</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49.10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Υπεραστικές σιδηροδρομικές μεταφορές επιβατών</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49.20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Σιδηροδρομικές μεταφορές εμπορευμάτων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49.31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Αστικές και προαστιακές χερσαίες μεταφορές επιβατών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49.32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Εκμετάλλευση ταξί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49.39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Άλλες χερσαίες μεταφορές επιβατών π.δ.κ.α.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49.41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Οδικές μεταφορές εμπορευμάτων</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49.42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Υπηρεσίες μετακόμισης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50.10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Θαλάσσιες και ακτοπλοϊκές μεταφορές επιβατών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50.20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Θαλάσσιες και ακτοπλοϊκές μεταφορές εμπορευμάτων</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50.30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Εσωτερικές πλωτές μεταφορές επιβατών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50.40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Εσωτερικές πλωτές μεταφορές εμπορευμάτων</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51.10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Αεροπορικές μεταφορές επιβατών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51.21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Αεροπορικές μεταφορές εμπορευμάτων</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52.10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Αποθήκευση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52.21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Δραστηριότητες συναφείς με τις χερσαίες μεταφορές</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52.22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συναφείς με τις πλωτές μεταφορές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52.23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Δραστηριότητες συναφείς με τις αεροπορικές μεταφορές</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52.24</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Διακίνηση φορτίων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52.29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Άλλες υποστηρικτικές προς τη μεταφορά δραστηριότητες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53.20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Άλλες ταχυδρομικές και ταχυμεταφορικές δραστηριότητες, εκτός από Υπηρεσίες κατ οίκον παράδοσης τροφίμων (delivery) (53.20.12)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55.10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Ξενοδοχεία και παρόμοια καταλύματα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55.20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Καταλύματα διακοπών και άλλα καταλύματα σύντομης διαμονής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55.30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Χώροι κατασκήνωσης, εγκαταστάσεις για οχήματα αναψυχής και ρυμουλκούμενα οχήματα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55.90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Άλλα καταλύματα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56.10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υπηρεσιών εστιατορίων και κινητών μονάδων εστίασης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56.21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υπηρεσιών τροφοδοσίας για εκδηλώσεις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56.29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Aλλες υπηρεσίες εστίασης, εκτός από Υπηρεσίες γευμάτων που παρέχονται από στρατιωτικές τραπεζαρίες (56.29.20.01)</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56.30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παροχής ποτών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58.11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Έκδοση βιβλίων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58.12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Έκδοση τηλεφωνικών και κάθε είδους καταλόγων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58.13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Έκδοση εφημερίδων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58.14</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Έκδοση έντυπων περιοδικών κάθε είδους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58.19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Άλλες εκδοτικές δραστηριότητες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58.21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Έκδοση παιχνιδιών για ηλεκτρονικούς υπολογιστές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58.29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Έκδοση άλλου λογισμικού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59.11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παραγωγής κινηματογραφικών ταινιών, βίντεο και τηλεοπτικών προγραμμάτων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59.12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συνοδευτικές της παραγωγής κινηματογραφικών ταινιών, βίντεο και τηλεοπτικών προγραμμάτων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59.13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διανομής κινηματογραφικών ταινιών, βίντεο και τηλεοπτικών προγραμμάτων. </w:t>
            </w:r>
            <w:r>
              <w:rPr>
                <w:rFonts w:cs="Calibri"/>
                <w:b/>
                <w:sz w:val="20"/>
                <w:szCs w:val="20"/>
              </w:rPr>
              <w:t>Αναστέλλεται η λειτουργία του ΚΑΔ υπηρεσίες εκμετάλλευσης κινηματογραφικών ταινιών (59.13.11.02) από 7/12/2020 έως 14/12/2020</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59.14</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προβολής κινηματογραφικών ταινιών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59.20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Ηχογραφήσεις και μουσικές εκδόσεις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60.10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Ραδιοφωνικές εκπομπές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60.20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Υπηρεσίες τηλεοπτικού προγραμματισμού και τηλεοπτικών εκπομπών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61.90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Άλλες τηλεπικοινωνιακές δραστηριότητες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62.01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προγραμματισμού ηλεκτρονικών συστημάτων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62.02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παροχής συμβουλών σχετικά με τους ηλεκτρονικούς υπολογιστές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62.03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Υπηρεσίες διαχείρισης ηλεκτρονικών συστημάτων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62.09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Άλλες δραστηριότητες της τεχνολογίας της πληροφορίας και δραστηριότητες υπηρεσιών ηλεκτρονικών υπολογιστών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63.11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Επεξεργασία δεδομένων, καταχώρηση και συναφείς δραστηριότητες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63.12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Δικτυακές πύλες (web portals)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63.91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πρακτορείων ειδήσεων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63.99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Άλλες δραστηριότητες υπηρεσιών πληροφορίας πδκα</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64.20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εταιρειών χαρτοφυλακίου (holding)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64.30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σχετικές με καταπιστεύματα (trusts), κεφάλαια (funds) και παρεμφερή χρηματοπιστωτικά μέσα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64.91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Χρηματοδοτική μίσθωση (leasing)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65.11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Ασφάλειες ζωής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65.12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Ασφάλειες εκτός από τις ασφάλειες ζωής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65.20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Αντασφάλιση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66.12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σχετικές με συναλλαγές συμβάσεων χρεογράφων και αγαθών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66.19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Άλλες δραστηριότητες συναφείς προς τις χρηματοπιστωτικές υπηρεσίες, με εξαίρεση τις ασφαλιστικές δραστηριότητες και τα συνταξιοδοτικά ταμεία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66.21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Αξιολόγηση κινδύνων και ζημιών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66.22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ασφαλιστικών πρακτόρων και μεσιτών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66.29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Άλλες δραστηριότητες συναφείς προς τις ασφαλίσεις και τα συνταξιοδοτικά ταμεία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66.30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διαχείρισης κεφαλαίων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68.10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Αγοραπωλησία ιδιόκτητων ακινήτων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68.20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Εκμίσθωση και διαχείριση ιδιόκτητων ή μισθωμένων ακινήτων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68.31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Μεσιτικά γραφεία ακινήτων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68.32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Διαχείριση ακίνητης περιουσίας, έναντι αμοιβής ή βάσει σύμβασης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69.10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Νομικές δραστηριότητες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69.20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Δραστηριότητες λογιστικής, τήρησης βιβλίων και λογιστικού ελέγχου παροχή φορολογικών συμβουλών</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70.10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κεντρικών γραφείων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70.21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δημοσίων σχέσεων και επικοινωνίας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70.22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Δραστηριότητες παροχής επιχειρηματικών συμβουλών και άλλων συμβουλών διαχείρισης</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71.11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Δραστηριότητες αρχιτεκτόνων</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71.12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Δραστηριότητες μηχανικών και συναφείς δραστηριότητες παροχής τεχνικών συμβουλών</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71.20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Τεχνικές δοκιμές και αναλύσεις</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72.11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Έρευνα και πειραματική ανάπτυξη στη βιοτεχνολογία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72.19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Έρευνα και πειραματική ανάπτυξη σε άλλες φυσικές επιστήμες και τη μηχανική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72.20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Έρευνα και πειραματική ανάπτυξη στις κοινωνικές και ανθρωπιστικές επιστήμες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73.11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Διαφημιστικά γραφεία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73.12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Παρουσίαση στα μέσα ενημέρωσης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73.20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Έρευνα αγοράς και δημοσκοπήσεις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74.10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ειδικευμένου σχεδίου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74.20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Φωτογραφικές δραστηριότητες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74.30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μετάφρασης και διερμηνείας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74.90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Άλλες επαγγελματικές, επιστημονικές και τεχνικές δραστηριότητες π.δ.κ.α.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75.00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Κτηνιατρικές δραστηριότητες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77.11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Ενοικίαση και εκμίσθωση αυτοκινήτων και ελαφρών μηχανοκίνητων οχημάτων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77.12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Ενοικίαση και εκμίσθωση φορτηγών</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77.21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Ενοικίαση και εκμίσθωση ειδών αναψυχής και αθλητικών ειδών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77.22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Ενοικίαση βιντεοκασετών και δίσκων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77.29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Ενοικίαση και εκμίσθωση άλλων ειδών προσωπικής ή οικιακής χρήσης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77.31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Ενοικίαση και εκμίσθωση γεωργικών μηχανημάτων και εξοπλισμού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77.32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Ενοικίαση και εκμίσθωση μηχανημάτων και εξοπλισμού κατασκευών και έργων πολιτικού μηχανικού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77.33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Ενοικίαση και εκμίσθωση μηχανημάτων και εξοπλισμού γραφείου (συμπεριλαμβανομένων των ηλεκτρονικών υπολογιστών)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77.34</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Ενοικίαση και εκμίσθωση εξοπλισμού πλωτών μεταφορών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77.35</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Ενοικίαση και εκμίσθωση εξοπλισμού αεροπορικών μεταφορών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77.39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Ενοικίαση και εκμίσθωση άλλων μηχανημάτων, ειδών εξοπλισμού και υλικών αγαθών πδκα</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77.40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Εκμίσθωση πνευματικής ιδιοκτησίας και παρεμφερών προϊόντων, με εξαίρεση τα έργα με δικαιώματα δημιουργού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78.10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γραφείων εύρεσης εργασίας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78.20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Υπηρεσίες γραφείων εύρεσης προσωρινής απασχόλησης</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78.30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Άλλες υπηρεσίες διάθεσης ανθρώπινου δυναμικού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79.11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ταξιδιωτικών πρακτορείων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79.12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γραφείων οργανωμένων ταξιδιών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79.90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Άλλες δραστηριότητες υπηρεσιών κρατήσεων και συναφείς δραστηριότητες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80.10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παροχής ιδιωτικής προστασίας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80.20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υπηρεσιών συστημάτων προστασίας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80.30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έρευνας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81.10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συνδυασμού βοηθητικών υπηρεσιών ( Συνδυασμένες βοηθητικές υπηρεσίες σε κτίρια και εξωτερικούς χώρους (καθαρισμού, φύλαξης, υποδοχής κλπ)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81.21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Γενικός καθαρισμός κτιρίων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81.22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Άλλες δραστηριότητες καθαρισμού κτιρίων και βιομηχανικού καθαρισμού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81.29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Άλλες δραστηριότητες καθαρισμού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81.30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υπηρεσιών τοπίου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82.11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Συνδυασμένες διοικητικές δραστηριότητες γραφείου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82.19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Αναπαραγωγή φωτοτυπιών, προετοιμασία εγγράφων και άλλες ειδικευμένες δραστηριότητες γραμματειακής υποστήριξης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82.20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τηλεφωνικών κέντρων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82.30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Οργάνωση συνεδρίων και εμπορικών εκθέσεων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82.91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γραφείων είσπραξης και γραφείων οικονομικών και εμπορικών πληροφοριών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82.92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συσκευασίας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82.99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Άλλες δραστηριότητες παροχής υπηρεσιών προς τις επιχειρήσεις π.δ.κ.α.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84.12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Ρύθμιση των δραστηριοτήτων για την παροχή περίθαλψης υγείας, εκπαίδευσης, πολιτιστικών και άλλων κοινωνικών υπηρεσιών, εκτός από την κοινωνική ασφάλιση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sz w:val="20"/>
                <w:szCs w:val="20"/>
              </w:rPr>
            </w:pPr>
            <w:r>
              <w:rPr>
                <w:rFonts w:cs="Calibri"/>
                <w:sz w:val="20"/>
                <w:szCs w:val="20"/>
              </w:rPr>
              <w:t>84.13</w:t>
            </w:r>
          </w:p>
        </w:tc>
        <w:tc>
          <w:tcPr>
            <w:tcW w:w="80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cs="Calibri"/>
                <w:sz w:val="20"/>
                <w:szCs w:val="20"/>
              </w:rPr>
            </w:pPr>
            <w:r>
              <w:rPr>
                <w:rFonts w:cs="Calibri"/>
                <w:sz w:val="20"/>
                <w:szCs w:val="20"/>
              </w:rPr>
              <w:t xml:space="preserve">Ρύθμιση των επιχειρηματικών δραστηριοτήτων και συμβολή στην αποτελεσματικότερη λειτουργία των επιχειρήσεων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84.23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Δικαιοσύνη και δικαστικές δραστηριότητες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85.10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Προσχολική εκπαίδευση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85.20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Πρωτοβάθμια εκπαίδευση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85.31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Γενική δευτεροβάθμια εκπαίδευση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85.32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Τεχνική και επαγγελματική δευτεροβάθμια εκπαίδευση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85.41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Μεταδευτεροβάθμια μη τριτοβάθμια εκπαίδευση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85.42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Τριτοβάθμια εκπαίδευση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85.51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Αθλητική και ψυχαγωγική εκπαίδευση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85.52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Πολιτιστική εκπαίδευση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85.53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σχολών ερασιτεχνών οδηγών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85.59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Άλλη εκπαίδευση π.δ.κ.α.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85.60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Εκπαιδευτικές υποστηρικτικές δραστηριότητες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86.21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Δραστηριότητες άσκησης γενικών ιατρικών επαγγελμάτων</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86.22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Δραστηριότητες άσκησης ειδικών ιατρικών επαγγελμάτων</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86.23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άσκησης οδοντιατρικών επαγγελμάτων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86.90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Άλλες δραστηριότητες ανθρώπινης υγείας</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87.10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νοσοκομειακής φροντίδας με παροχή καταλύματος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87.20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φροντίδας με παροχή καταλύματος για άτομα με νοητική υστέρηση, ψυχικές διαταραχές και χρήση ουσιών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87.30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φροντίδας με παροχή καταλύματος για ηλικιωμένους και άτομα με αναπηρία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87.90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Άλλες δραστηριότητες φροντίδας με παροχή καταλύματος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88.10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κοινωνικής μέριμνας χωρίς παροχή καταλύματος για ηλικιωμένους και άτομα με αναπηρία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88.91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βρεφονηπιακών και παιδικών σταθμών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88.99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Άλλες δραστηριότητες κοινωνικής μέριμνας χωρίς παροχή καταλύματος πδκα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90.01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Τέχνες του θεάματος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90.02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Υποστηρικτικές δραστηριότητες για τις τέχνες του θεάματος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90.03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Καλλιτεχνική δημιουργία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90.04</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Εκμετάλλευση αιθουσών θεαμάτων και συναφείς δραστηριότητες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91.01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βιβλιοθηκών και αρχειοφυλακείων                                                                                                                                                                                                                   </w:t>
            </w:r>
          </w:p>
        </w:tc>
      </w:tr>
      <w:tr>
        <w:trPr>
          <w:trHeight w:val="28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91.02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μουσείων                                                                                                                                                                                                                                          </w:t>
            </w:r>
          </w:p>
        </w:tc>
      </w:tr>
      <w:tr>
        <w:trPr>
          <w:trHeight w:val="28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91.03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Λειτουργία ιστορικών χώρων και κτιρίων και παρόμοιων πόλων έλξης επισκεπτών                                                                                                                                                                                      </w:t>
            </w:r>
          </w:p>
        </w:tc>
      </w:tr>
      <w:tr>
        <w:trPr>
          <w:trHeight w:val="28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91.04</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βοτανικών και ζωολογικών κήπων και φυσικών βιοτόπων                                                                                                                                                                                               </w:t>
            </w:r>
          </w:p>
        </w:tc>
      </w:tr>
      <w:tr>
        <w:trPr>
          <w:trHeight w:val="28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92.00</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Τυχερά παιχνίδια και στοιχήματα εκτός από Υπηρεσίες τυχερών παιχνιδιών σε απ ευθείας (on-line) σύνδεση (92.00.14), Υπηρεσίες στοιχημάτων σε απ ευθείας (on-line) σύνδεση (92.00.21)                                                                                                                            </w:t>
            </w:r>
          </w:p>
        </w:tc>
      </w:tr>
      <w:tr>
        <w:trPr>
          <w:trHeight w:val="28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93.11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Εκμετάλλευση αθλητικών εγκαταστάσεων                                                                                                                                                                                                                             </w:t>
            </w:r>
          </w:p>
        </w:tc>
      </w:tr>
      <w:tr>
        <w:trPr>
          <w:trHeight w:val="28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93.12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αθλητικών ομίλων                                                                                                                                                                                                                                  </w:t>
            </w:r>
          </w:p>
        </w:tc>
      </w:tr>
      <w:tr>
        <w:trPr>
          <w:trHeight w:val="28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93.13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Εγκαταστάσεις γυμναστικής                                                                                                                                                                                                                                        </w:t>
            </w:r>
          </w:p>
        </w:tc>
      </w:tr>
      <w:tr>
        <w:trPr>
          <w:trHeight w:val="28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93.19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Άλλες αθλητικές δραστηριότητες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93.21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πάρκων αναψυχής και άλλων θεματικών πάρκων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93.29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Άλλες δραστηριότητες διασκέδασης και ψυχαγωγίας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94.11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επιχειρηματικών και εργοδοτικών οργανώσεων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94.12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επαγγελματικών οργανώσεων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94.91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θρησκευτικών οργανώσεων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94.99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άλλων οργανώσεων π.δ.κ.α.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95.11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Επισκευή ηλεκτρονικών υπολογιστών και περιφερειακού εξοπλισμού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95.12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Επισκευή εξοπλισμού επικοινωνίας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95.21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Επισκευή ηλεκτρονικών ειδών ευρείας κατανάλωσης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95.22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Επισκευή συσκευών οικιακής χρήσης και εξοπλισμού σπιτιού και κήπου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95.23</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Επιδιόρθωση υποδημάτων και δερμάτινων ειδών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95.24</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Επισκευή επίπλων και ειδών οικιακής επίπλωσης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95.25</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Επισκευή ρολογιών και κοσμημάτων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95.29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Επισκευή άλλων ειδών προσωπικής και οικιακής χρήσης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96.01</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Πλύσιμο και (στεγνό) καθάρισμα κλωστοϋφαντουργικών και γούνινων προϊόντων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96.02</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κομμωτηρίων, κουρείων και κέντρων αισθητικής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96.04</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Δραστηριότητες σχετικές με τη φυσική ευεξία                                                                                                                                                                                                                      </w:t>
            </w:r>
          </w:p>
        </w:tc>
      </w:tr>
      <w:tr>
        <w:trPr>
          <w:trHeight w:val="30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96.09</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xml:space="preserve">Άλλες δραστηριότητες παροχής προσωπικών υπηρεσιών π.δ.κ.α., εκτός από Υπηρεσίες οικιακού υπηρέτη (96.09.19.13), Υπηρεσίες προσωπικού οδηγού αυτοκινήτων (96.09.19.15) </w:t>
            </w:r>
          </w:p>
        </w:tc>
      </w:tr>
      <w:tr>
        <w:trPr>
          <w:trHeight w:val="28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Καταστήματα λιανικού εμπορίου που λειτουργούν με συμφωνίες συνεργασίας όλων των καταστημάτων λιανικού εμπορίου τύπου «κατάστημα εντός καταστήματος» (shops-in a-shop), που βρίσκονται σε εκπτωτικά καταστήματα (outlet), εμπορικά κέντρα ή εκπτωτικά χωριά, εξαιρουμένων των σούπερ μάρκετ και των φαρμακείων</w:t>
            </w:r>
          </w:p>
        </w:tc>
      </w:tr>
      <w:tr>
        <w:trPr>
          <w:trHeight w:val="28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 </w:t>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Επιχειρήσεις έκδοσης πρωτογενούς (branded) ψηφιακού περιεχομένου, οι οποίες είναι εγγεγραμμένες στο Μητρώο Επιχειρήσεων Ηλεκτρονικών Μέσων Ενημέρωσης (Μητρώο Online Media) που τηρείται στην Γενική Γραμματεία Επικοινωνίας και Ενημέρωσης κατά την έκδοση της παρούσας ή υποβάλουν σχετική αίτηση εγγραφής και ενταχθούν σε αυτό κατόπιν έγκρισης της αρμόδιας επιτροπής της ΓΓΕΕ.</w:t>
            </w:r>
          </w:p>
        </w:tc>
      </w:tr>
      <w:tr>
        <w:trPr>
          <w:trHeight w:val="28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Καταστήματα και επιχειρήσεις κάθε είδους που λειτουργούν εντός ξενοδοχειακών μονάδων, ξενοδοχειακών συγκροτημάτων και των αερολιμένων, όπως και τα καταστήματα αφορολογήτων ειδών.</w:t>
            </w:r>
          </w:p>
        </w:tc>
      </w:tr>
      <w:tr>
        <w:trPr>
          <w:trHeight w:val="280" w:hRule="atLeast"/>
        </w:trPr>
        <w:tc>
          <w:tcPr>
            <w:tcW w:w="13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r>
          </w:p>
        </w:tc>
        <w:tc>
          <w:tcPr>
            <w:tcW w:w="8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cs="Calibri"/>
                <w:sz w:val="20"/>
                <w:szCs w:val="20"/>
              </w:rPr>
            </w:pPr>
            <w:r>
              <w:rPr>
                <w:rFonts w:cs="Calibri"/>
                <w:sz w:val="20"/>
                <w:szCs w:val="20"/>
              </w:rPr>
              <w:t>Καταστήματα λιανικής πώλησης τηλεπικοινωνιακών υπηρεσιών, συμπεριλαμβανομένης της ανανέωσης προπληρωμένων τηλεπικοινωνιακών υπηρεσιών και της επισκευής και αντικατάστασης τηλεπικοινωνιακού εξοπλισμού χρηστών.</w:t>
            </w:r>
          </w:p>
        </w:tc>
      </w:tr>
    </w:tbl>
    <w:p>
      <w:pPr>
        <w:pStyle w:val="Normal"/>
        <w:spacing w:before="0" w:after="0"/>
        <w:rPr>
          <w:rFonts w:ascii="Calibri" w:hAnsi="Calibri" w:cs="Calibri" w:asciiTheme="minorHAnsi" w:cstheme="minorHAnsi" w:hAnsiTheme="minorHAnsi"/>
          <w:sz w:val="24"/>
          <w:szCs w:val="24"/>
        </w:rPr>
      </w:pPr>
      <w:r>
        <w:rPr>
          <w:rFonts w:cs="Calibri" w:cstheme="minorHAnsi"/>
          <w:sz w:val="24"/>
          <w:szCs w:val="24"/>
        </w:rPr>
      </w:r>
      <w:bookmarkStart w:id="3" w:name="_GoBack"/>
      <w:bookmarkStart w:id="4" w:name="_GoBack"/>
      <w:bookmarkEnd w:id="4"/>
    </w:p>
    <w:p>
      <w:pPr>
        <w:pStyle w:val="Normal"/>
        <w:spacing w:before="0" w:after="0"/>
        <w:rPr>
          <w:rFonts w:ascii="Calibri" w:hAnsi="Calibri" w:cs="Calibri" w:asciiTheme="minorHAnsi" w:cstheme="minorHAnsi" w:hAnsiTheme="minorHAnsi"/>
          <w:sz w:val="24"/>
          <w:szCs w:val="24"/>
        </w:rPr>
      </w:pPr>
      <w:r>
        <w:rPr>
          <w:rFonts w:cs="Calibri" w:cstheme="minorHAnsi"/>
          <w:sz w:val="24"/>
          <w:szCs w:val="24"/>
        </w:rPr>
      </w:r>
    </w:p>
    <w:p>
      <w:pPr>
        <w:pStyle w:val="Normal"/>
        <w:spacing w:before="0" w:after="0"/>
        <w:rPr>
          <w:rFonts w:ascii="Calibri" w:hAnsi="Calibri" w:cs="Calibri" w:asciiTheme="minorHAnsi" w:cstheme="minorHAnsi" w:hAnsiTheme="minorHAnsi"/>
          <w:sz w:val="24"/>
          <w:szCs w:val="24"/>
        </w:rPr>
      </w:pPr>
      <w:r>
        <w:rPr>
          <w:rFonts w:cs="Calibri" w:cstheme="minorHAnsi"/>
          <w:sz w:val="24"/>
          <w:szCs w:val="24"/>
        </w:rPr>
        <w:t>Η απόφαση αυτή να δημοσιευθεί στην Εφημερίδα της Κυβερνήσεως.</w:t>
      </w:r>
    </w:p>
    <w:p>
      <w:pPr>
        <w:pStyle w:val="Normal"/>
        <w:spacing w:before="0" w:after="0"/>
        <w:rPr>
          <w:rFonts w:ascii="Calibri" w:hAnsi="Calibri" w:cs="Calibri" w:asciiTheme="minorHAnsi" w:cstheme="minorHAnsi" w:hAnsiTheme="minorHAnsi"/>
          <w:sz w:val="24"/>
          <w:szCs w:val="24"/>
        </w:rPr>
      </w:pPr>
      <w:r>
        <w:rPr>
          <w:rFonts w:cs="Calibri" w:cstheme="minorHAnsi"/>
          <w:sz w:val="24"/>
          <w:szCs w:val="24"/>
        </w:rPr>
      </w:r>
    </w:p>
    <w:p>
      <w:pPr>
        <w:pStyle w:val="Normal"/>
        <w:spacing w:before="0" w:after="0"/>
        <w:rPr>
          <w:rFonts w:ascii="Calibri" w:hAnsi="Calibri" w:cs="Calibri" w:asciiTheme="minorHAnsi" w:cstheme="minorHAnsi" w:hAnsiTheme="minorHAnsi"/>
          <w:sz w:val="24"/>
          <w:szCs w:val="24"/>
        </w:rPr>
      </w:pPr>
      <w:r>
        <w:rPr>
          <w:rFonts w:cs="Calibri" w:cstheme="minorHAnsi"/>
          <w:sz w:val="24"/>
          <w:szCs w:val="24"/>
        </w:rPr>
      </w:r>
    </w:p>
    <w:p>
      <w:pPr>
        <w:pStyle w:val="Normal"/>
        <w:spacing w:before="0" w:after="0"/>
        <w:rPr>
          <w:rFonts w:ascii="Calibri" w:hAnsi="Calibri" w:cs="Calibri" w:asciiTheme="minorHAnsi" w:cstheme="minorHAnsi" w:hAnsiTheme="minorHAnsi"/>
          <w:sz w:val="24"/>
          <w:szCs w:val="24"/>
        </w:rPr>
      </w:pPr>
      <w:r>
        <w:rPr>
          <w:rFonts w:cs="Calibri" w:cstheme="minorHAnsi"/>
          <w:sz w:val="24"/>
          <w:szCs w:val="24"/>
        </w:rPr>
      </w:r>
    </w:p>
    <w:p>
      <w:pPr>
        <w:pStyle w:val="Normal"/>
        <w:spacing w:before="0" w:after="0"/>
        <w:rPr>
          <w:rFonts w:ascii="Calibri" w:hAnsi="Calibri" w:cs="Calibri" w:asciiTheme="minorHAnsi" w:cstheme="minorHAnsi" w:hAnsiTheme="minorHAnsi"/>
          <w:sz w:val="24"/>
          <w:szCs w:val="24"/>
        </w:rPr>
      </w:pPr>
      <w:r>
        <w:rPr>
          <w:rFonts w:cs="Calibri" w:cstheme="minorHAnsi"/>
          <w:sz w:val="24"/>
          <w:szCs w:val="24"/>
        </w:rPr>
      </w:r>
    </w:p>
    <w:p>
      <w:pPr>
        <w:pStyle w:val="Normal"/>
        <w:spacing w:before="0" w:after="0"/>
        <w:rPr>
          <w:rFonts w:ascii="Calibri" w:hAnsi="Calibri" w:cs="Calibri" w:asciiTheme="minorHAnsi" w:cstheme="minorHAnsi" w:hAnsiTheme="minorHAnsi"/>
          <w:sz w:val="24"/>
          <w:szCs w:val="24"/>
        </w:rPr>
      </w:pPr>
      <w:r>
        <w:rPr>
          <w:rFonts w:cs="Calibri" w:cstheme="minorHAnsi"/>
          <w:sz w:val="24"/>
          <w:szCs w:val="24"/>
        </w:rPr>
      </w:r>
    </w:p>
    <w:p>
      <w:pPr>
        <w:pStyle w:val="Normal"/>
        <w:spacing w:before="0" w:after="0"/>
        <w:rPr>
          <w:rFonts w:ascii="Calibri" w:hAnsi="Calibri" w:cs="Calibri" w:asciiTheme="minorHAnsi" w:cstheme="minorHAnsi" w:hAnsiTheme="minorHAnsi"/>
          <w:sz w:val="24"/>
          <w:szCs w:val="24"/>
        </w:rPr>
      </w:pPr>
      <w:r>
        <w:rPr>
          <w:rFonts w:cs="Calibri" w:cstheme="minorHAnsi"/>
          <w:sz w:val="24"/>
          <w:szCs w:val="24"/>
        </w:rPr>
      </w:r>
    </w:p>
    <w:p>
      <w:pPr>
        <w:pStyle w:val="Normal"/>
        <w:spacing w:before="0" w:after="0"/>
        <w:rPr>
          <w:rFonts w:ascii="Calibri" w:hAnsi="Calibri" w:cs="Calibri" w:asciiTheme="minorHAnsi" w:cstheme="minorHAnsi" w:hAnsiTheme="minorHAnsi"/>
          <w:sz w:val="24"/>
          <w:szCs w:val="24"/>
        </w:rPr>
      </w:pPr>
      <w:r>
        <w:rPr>
          <w:rFonts w:cs="Calibri" w:cstheme="minorHAnsi"/>
          <w:sz w:val="24"/>
          <w:szCs w:val="24"/>
        </w:rPr>
      </w:r>
    </w:p>
    <w:p>
      <w:pPr>
        <w:pStyle w:val="Normal"/>
        <w:spacing w:before="0" w:after="0"/>
        <w:rPr>
          <w:rFonts w:ascii="Calibri" w:hAnsi="Calibri" w:cs="Calibri" w:asciiTheme="minorHAnsi" w:cstheme="minorHAnsi" w:hAnsiTheme="minorHAnsi"/>
          <w:sz w:val="24"/>
          <w:szCs w:val="24"/>
        </w:rPr>
      </w:pPr>
      <w:r>
        <w:rPr>
          <w:rFonts w:cs="Calibri" w:cstheme="minorHAnsi"/>
          <w:sz w:val="24"/>
          <w:szCs w:val="24"/>
        </w:rPr>
      </w:r>
    </w:p>
    <w:p>
      <w:pPr>
        <w:pStyle w:val="Normal"/>
        <w:spacing w:before="0" w:after="0"/>
        <w:rPr>
          <w:rFonts w:ascii="Calibri" w:hAnsi="Calibri" w:cs="Calibri" w:asciiTheme="minorHAnsi" w:cstheme="minorHAnsi" w:hAnsiTheme="minorHAnsi"/>
          <w:sz w:val="24"/>
          <w:szCs w:val="24"/>
        </w:rPr>
      </w:pPr>
      <w:r>
        <w:rPr>
          <w:rFonts w:cs="Calibri" w:cstheme="minorHAnsi"/>
          <w:sz w:val="24"/>
          <w:szCs w:val="24"/>
        </w:rPr>
      </w:r>
    </w:p>
    <w:p>
      <w:pPr>
        <w:pStyle w:val="Normal"/>
        <w:spacing w:before="0" w:after="0"/>
        <w:rPr>
          <w:rFonts w:ascii="Calibri" w:hAnsi="Calibri" w:cs="Calibri" w:asciiTheme="minorHAnsi" w:cstheme="minorHAnsi" w:hAnsiTheme="minorHAnsi"/>
          <w:sz w:val="24"/>
          <w:szCs w:val="24"/>
        </w:rPr>
      </w:pPr>
      <w:r>
        <w:rPr>
          <w:rFonts w:cs="Calibri" w:cstheme="minorHAnsi"/>
          <w:sz w:val="24"/>
          <w:szCs w:val="24"/>
        </w:rPr>
      </w:r>
    </w:p>
    <w:p>
      <w:pPr>
        <w:pStyle w:val="Normal"/>
        <w:spacing w:before="0" w:after="0"/>
        <w:rPr>
          <w:rFonts w:ascii="Calibri" w:hAnsi="Calibri" w:cs="Calibri" w:asciiTheme="minorHAnsi" w:cstheme="minorHAnsi" w:hAnsiTheme="minorHAnsi"/>
          <w:sz w:val="24"/>
          <w:szCs w:val="24"/>
        </w:rPr>
      </w:pPr>
      <w:r>
        <w:rPr>
          <w:rFonts w:cs="Calibri" w:cstheme="minorHAnsi"/>
          <w:sz w:val="24"/>
          <w:szCs w:val="24"/>
        </w:rPr>
      </w:r>
    </w:p>
    <w:tbl>
      <w:tblPr>
        <w:tblStyle w:val="aa"/>
        <w:tblW w:w="8340" w:type="dxa"/>
        <w:jc w:val="left"/>
        <w:tblInd w:w="0" w:type="dxa"/>
        <w:tblLayout w:type="fixed"/>
        <w:tblCellMar>
          <w:top w:w="0" w:type="dxa"/>
          <w:left w:w="108" w:type="dxa"/>
          <w:bottom w:w="0" w:type="dxa"/>
          <w:right w:w="108" w:type="dxa"/>
        </w:tblCellMar>
        <w:tblLook w:val="04a0"/>
      </w:tblPr>
      <w:tblGrid>
        <w:gridCol w:w="4180"/>
        <w:gridCol w:w="4159"/>
      </w:tblGrid>
      <w:tr>
        <w:trPr/>
        <w:tc>
          <w:tcPr>
            <w:tcW w:w="4180" w:type="dxa"/>
            <w:tcBorders>
              <w:top w:val="nil"/>
              <w:left w:val="nil"/>
              <w:bottom w:val="nil"/>
              <w:right w:val="nil"/>
            </w:tcBorders>
          </w:tcPr>
          <w:p>
            <w:pPr>
              <w:pStyle w:val="Normal"/>
              <w:widowControl/>
              <w:spacing w:before="0" w:after="0"/>
              <w:jc w:val="center"/>
              <w:rPr>
                <w:rFonts w:ascii="Calibri" w:hAnsi="Calibri" w:cs="Calibri" w:asciiTheme="minorHAnsi" w:cstheme="minorHAnsi" w:hAnsiTheme="minorHAnsi"/>
                <w:b/>
                <w:b/>
                <w:sz w:val="24"/>
                <w:szCs w:val="24"/>
              </w:rPr>
            </w:pPr>
            <w:r>
              <w:rPr>
                <w:rFonts w:eastAsia="Times New Roman" w:cs="Calibri" w:cstheme="minorHAnsi"/>
                <w:b/>
                <w:kern w:val="0"/>
                <w:sz w:val="24"/>
                <w:szCs w:val="24"/>
                <w:lang w:val="el-GR" w:eastAsia="el-GR" w:bidi="ar-SA"/>
              </w:rPr>
              <w:t xml:space="preserve">Ο ΑΝΑΠΛΗΡΩΤΗΣ ΥΠΟΥΡΓΟΣ </w:t>
            </w:r>
          </w:p>
          <w:p>
            <w:pPr>
              <w:pStyle w:val="Normal"/>
              <w:widowControl/>
              <w:spacing w:before="0" w:after="0"/>
              <w:jc w:val="center"/>
              <w:rPr>
                <w:rFonts w:ascii="Calibri" w:hAnsi="Calibri" w:cs="Calibri" w:asciiTheme="minorHAnsi" w:cstheme="minorHAnsi" w:hAnsiTheme="minorHAnsi"/>
                <w:b/>
                <w:b/>
                <w:sz w:val="24"/>
                <w:szCs w:val="24"/>
              </w:rPr>
            </w:pPr>
            <w:r>
              <w:rPr>
                <w:rFonts w:eastAsia="Times New Roman" w:cs="Calibri" w:cstheme="minorHAnsi"/>
                <w:b/>
                <w:kern w:val="0"/>
                <w:sz w:val="24"/>
                <w:szCs w:val="24"/>
                <w:lang w:val="el-GR" w:eastAsia="el-GR" w:bidi="ar-SA"/>
              </w:rPr>
              <w:t xml:space="preserve">ΟΙΚΟΝΟΜΙΚΩΝ </w:t>
            </w:r>
          </w:p>
        </w:tc>
        <w:tc>
          <w:tcPr>
            <w:tcW w:w="4159" w:type="dxa"/>
            <w:tcBorders>
              <w:top w:val="nil"/>
              <w:left w:val="nil"/>
              <w:bottom w:val="nil"/>
              <w:right w:val="nil"/>
            </w:tcBorders>
          </w:tcPr>
          <w:p>
            <w:pPr>
              <w:pStyle w:val="Normal"/>
              <w:widowControl/>
              <w:spacing w:before="0" w:after="0"/>
              <w:jc w:val="center"/>
              <w:rPr>
                <w:rFonts w:ascii="Calibri" w:hAnsi="Calibri" w:cs="Calibri" w:asciiTheme="minorHAnsi" w:cstheme="minorHAnsi" w:hAnsiTheme="minorHAnsi"/>
                <w:b/>
                <w:b/>
                <w:sz w:val="24"/>
                <w:szCs w:val="24"/>
              </w:rPr>
            </w:pPr>
            <w:r>
              <w:rPr>
                <w:rFonts w:eastAsia="Times New Roman" w:cs="Calibri" w:cstheme="minorHAnsi"/>
                <w:b/>
                <w:kern w:val="0"/>
                <w:sz w:val="24"/>
                <w:szCs w:val="24"/>
                <w:lang w:val="el-GR" w:eastAsia="el-GR" w:bidi="ar-SA"/>
              </w:rPr>
              <w:t>Ο ΥΠΟΥΡΓΟΣ</w:t>
            </w:r>
          </w:p>
          <w:p>
            <w:pPr>
              <w:pStyle w:val="Normal"/>
              <w:widowControl/>
              <w:spacing w:before="0" w:after="0"/>
              <w:jc w:val="center"/>
              <w:rPr>
                <w:rFonts w:ascii="Calibri" w:hAnsi="Calibri" w:cs="Calibri" w:asciiTheme="minorHAnsi" w:cstheme="minorHAnsi" w:hAnsiTheme="minorHAnsi"/>
                <w:b/>
                <w:b/>
                <w:sz w:val="24"/>
                <w:szCs w:val="24"/>
              </w:rPr>
            </w:pPr>
            <w:r>
              <w:rPr>
                <w:rFonts w:eastAsia="Times New Roman" w:cs="Calibri" w:cstheme="minorHAnsi"/>
                <w:b/>
                <w:kern w:val="0"/>
                <w:sz w:val="24"/>
                <w:szCs w:val="24"/>
                <w:lang w:val="el-GR" w:eastAsia="el-GR" w:bidi="ar-SA"/>
              </w:rPr>
              <w:t>ΕΡΓΑΣΙΑΣ ΚΑΙ ΚΟΙΝΩΝΙΚΩΝ ΥΠΟΘΕΣΕΩΝ</w:t>
            </w:r>
          </w:p>
          <w:p>
            <w:pPr>
              <w:pStyle w:val="Normal"/>
              <w:widowControl/>
              <w:spacing w:before="0" w:after="0"/>
              <w:jc w:val="center"/>
              <w:rPr>
                <w:rFonts w:ascii="Calibri" w:hAnsi="Calibri" w:cs="Calibri" w:asciiTheme="minorHAnsi" w:cstheme="minorHAnsi" w:hAnsiTheme="minorHAnsi"/>
                <w:b/>
                <w:b/>
                <w:sz w:val="24"/>
                <w:szCs w:val="24"/>
              </w:rPr>
            </w:pPr>
            <w:r>
              <w:rPr>
                <w:rFonts w:eastAsia="Times New Roman" w:cs="Calibri" w:cstheme="minorHAnsi"/>
                <w:b/>
                <w:kern w:val="0"/>
                <w:sz w:val="24"/>
                <w:szCs w:val="24"/>
                <w:lang w:val="el-GR" w:eastAsia="el-GR" w:bidi="ar-SA"/>
              </w:rPr>
            </w:r>
          </w:p>
        </w:tc>
      </w:tr>
      <w:tr>
        <w:trPr/>
        <w:tc>
          <w:tcPr>
            <w:tcW w:w="4180" w:type="dxa"/>
            <w:tcBorders>
              <w:top w:val="nil"/>
              <w:left w:val="nil"/>
              <w:bottom w:val="nil"/>
              <w:right w:val="nil"/>
            </w:tcBorders>
          </w:tcPr>
          <w:p>
            <w:pPr>
              <w:pStyle w:val="Normal"/>
              <w:widowControl/>
              <w:spacing w:before="0" w:after="0"/>
              <w:jc w:val="left"/>
              <w:rPr>
                <w:rFonts w:ascii="Calibri" w:hAnsi="Calibri" w:cs="Calibri" w:asciiTheme="minorHAnsi" w:cstheme="minorHAnsi" w:hAnsiTheme="minorHAnsi"/>
                <w:b/>
                <w:b/>
                <w:sz w:val="24"/>
                <w:szCs w:val="24"/>
              </w:rPr>
            </w:pPr>
            <w:r>
              <w:rPr>
                <w:rFonts w:eastAsia="Times New Roman" w:cs="Calibri" w:cstheme="minorHAnsi"/>
                <w:b/>
                <w:kern w:val="0"/>
                <w:sz w:val="24"/>
                <w:szCs w:val="24"/>
                <w:lang w:val="el-GR" w:eastAsia="el-GR" w:bidi="ar-SA"/>
              </w:rPr>
            </w:r>
          </w:p>
        </w:tc>
        <w:tc>
          <w:tcPr>
            <w:tcW w:w="4159" w:type="dxa"/>
            <w:tcBorders>
              <w:top w:val="nil"/>
              <w:left w:val="nil"/>
              <w:bottom w:val="nil"/>
              <w:right w:val="nil"/>
            </w:tcBorders>
          </w:tcPr>
          <w:p>
            <w:pPr>
              <w:pStyle w:val="Normal"/>
              <w:widowControl/>
              <w:spacing w:before="0" w:after="0"/>
              <w:jc w:val="center"/>
              <w:rPr>
                <w:rFonts w:ascii="Calibri" w:hAnsi="Calibri" w:cs="Calibri" w:asciiTheme="minorHAnsi" w:cstheme="minorHAnsi" w:hAnsiTheme="minorHAnsi"/>
                <w:b/>
                <w:b/>
                <w:sz w:val="24"/>
                <w:szCs w:val="24"/>
              </w:rPr>
            </w:pPr>
            <w:r>
              <w:rPr>
                <w:rFonts w:eastAsia="Times New Roman" w:cs="Calibri" w:cstheme="minorHAnsi"/>
                <w:b/>
                <w:kern w:val="0"/>
                <w:sz w:val="24"/>
                <w:szCs w:val="24"/>
                <w:lang w:val="el-GR" w:eastAsia="el-GR" w:bidi="ar-SA"/>
              </w:rPr>
            </w:r>
          </w:p>
        </w:tc>
      </w:tr>
      <w:tr>
        <w:trPr/>
        <w:tc>
          <w:tcPr>
            <w:tcW w:w="4180" w:type="dxa"/>
            <w:tcBorders>
              <w:top w:val="nil"/>
              <w:left w:val="nil"/>
              <w:bottom w:val="nil"/>
              <w:right w:val="nil"/>
            </w:tcBorders>
          </w:tcPr>
          <w:p>
            <w:pPr>
              <w:pStyle w:val="Normal"/>
              <w:widowControl/>
              <w:spacing w:before="0" w:after="0"/>
              <w:jc w:val="center"/>
              <w:rPr>
                <w:rFonts w:ascii="Calibri" w:hAnsi="Calibri" w:cs="Calibri" w:asciiTheme="minorHAnsi" w:cstheme="minorHAnsi" w:hAnsiTheme="minorHAnsi"/>
                <w:b/>
                <w:b/>
                <w:sz w:val="24"/>
                <w:szCs w:val="24"/>
              </w:rPr>
            </w:pPr>
            <w:r>
              <w:rPr>
                <w:rFonts w:eastAsia="Times New Roman" w:cs="Calibri" w:cstheme="minorHAnsi"/>
                <w:b/>
                <w:kern w:val="0"/>
                <w:sz w:val="24"/>
                <w:szCs w:val="24"/>
                <w:lang w:val="el-GR" w:eastAsia="el-GR" w:bidi="ar-SA"/>
              </w:rPr>
            </w:r>
          </w:p>
        </w:tc>
        <w:tc>
          <w:tcPr>
            <w:tcW w:w="4159" w:type="dxa"/>
            <w:tcBorders>
              <w:top w:val="nil"/>
              <w:left w:val="nil"/>
              <w:bottom w:val="nil"/>
              <w:right w:val="nil"/>
            </w:tcBorders>
          </w:tcPr>
          <w:p>
            <w:pPr>
              <w:pStyle w:val="Normal"/>
              <w:widowControl/>
              <w:spacing w:before="0" w:after="0"/>
              <w:jc w:val="center"/>
              <w:rPr>
                <w:rFonts w:ascii="Calibri" w:hAnsi="Calibri" w:cs="Calibri" w:asciiTheme="minorHAnsi" w:cstheme="minorHAnsi" w:hAnsiTheme="minorHAnsi"/>
                <w:b/>
                <w:b/>
                <w:sz w:val="24"/>
                <w:szCs w:val="24"/>
              </w:rPr>
            </w:pPr>
            <w:r>
              <w:rPr>
                <w:rFonts w:eastAsia="Times New Roman" w:cs="Calibri" w:cstheme="minorHAnsi"/>
                <w:b/>
                <w:kern w:val="0"/>
                <w:sz w:val="24"/>
                <w:szCs w:val="24"/>
                <w:lang w:val="el-GR" w:eastAsia="el-GR" w:bidi="ar-SA"/>
              </w:rPr>
            </w:r>
          </w:p>
        </w:tc>
      </w:tr>
      <w:tr>
        <w:trPr/>
        <w:tc>
          <w:tcPr>
            <w:tcW w:w="4180" w:type="dxa"/>
            <w:tcBorders>
              <w:top w:val="nil"/>
              <w:left w:val="nil"/>
              <w:bottom w:val="nil"/>
              <w:right w:val="nil"/>
            </w:tcBorders>
          </w:tcPr>
          <w:p>
            <w:pPr>
              <w:pStyle w:val="Normal"/>
              <w:widowControl/>
              <w:spacing w:before="0" w:after="0"/>
              <w:jc w:val="center"/>
              <w:rPr>
                <w:rFonts w:ascii="Calibri" w:hAnsi="Calibri" w:cs="Calibri" w:asciiTheme="minorHAnsi" w:cstheme="minorHAnsi" w:hAnsiTheme="minorHAnsi"/>
                <w:b/>
                <w:b/>
                <w:sz w:val="24"/>
                <w:szCs w:val="24"/>
              </w:rPr>
            </w:pPr>
            <w:r>
              <w:rPr>
                <w:rFonts w:eastAsia="Times New Roman" w:cs="Calibri" w:cstheme="minorHAnsi"/>
                <w:b/>
                <w:kern w:val="0"/>
                <w:sz w:val="24"/>
                <w:szCs w:val="24"/>
                <w:lang w:val="el-GR" w:eastAsia="el-GR" w:bidi="ar-SA"/>
              </w:rPr>
              <w:t>ΘΕΟΔΩΡΟΣ ΣΚΥΛΑΚΑΚΗΣ</w:t>
            </w:r>
          </w:p>
          <w:p>
            <w:pPr>
              <w:pStyle w:val="Normal"/>
              <w:widowControl/>
              <w:spacing w:before="0" w:after="0"/>
              <w:jc w:val="center"/>
              <w:rPr>
                <w:rFonts w:ascii="Calibri" w:hAnsi="Calibri" w:cs="Calibri" w:asciiTheme="minorHAnsi" w:cstheme="minorHAnsi" w:hAnsiTheme="minorHAnsi"/>
                <w:b/>
                <w:b/>
                <w:sz w:val="24"/>
                <w:szCs w:val="24"/>
              </w:rPr>
            </w:pPr>
            <w:r>
              <w:rPr>
                <w:rFonts w:eastAsia="Times New Roman" w:cs="Calibri" w:cstheme="minorHAnsi"/>
                <w:b/>
                <w:kern w:val="0"/>
                <w:sz w:val="24"/>
                <w:szCs w:val="24"/>
                <w:lang w:val="el-GR" w:eastAsia="el-GR" w:bidi="ar-SA"/>
              </w:rPr>
            </w:r>
          </w:p>
        </w:tc>
        <w:tc>
          <w:tcPr>
            <w:tcW w:w="4159" w:type="dxa"/>
            <w:tcBorders>
              <w:top w:val="nil"/>
              <w:left w:val="nil"/>
              <w:bottom w:val="nil"/>
              <w:right w:val="nil"/>
            </w:tcBorders>
          </w:tcPr>
          <w:p>
            <w:pPr>
              <w:pStyle w:val="Normal"/>
              <w:widowControl/>
              <w:spacing w:before="0" w:after="0"/>
              <w:jc w:val="center"/>
              <w:rPr>
                <w:rFonts w:ascii="Calibri" w:hAnsi="Calibri" w:cs="Calibri" w:asciiTheme="minorHAnsi" w:cstheme="minorHAnsi" w:hAnsiTheme="minorHAnsi"/>
                <w:b/>
                <w:b/>
                <w:sz w:val="24"/>
                <w:szCs w:val="24"/>
              </w:rPr>
            </w:pPr>
            <w:r>
              <w:rPr>
                <w:rFonts w:eastAsia="Times New Roman" w:cs="Calibri" w:cstheme="minorHAnsi"/>
                <w:b/>
                <w:kern w:val="0"/>
                <w:sz w:val="24"/>
                <w:szCs w:val="24"/>
                <w:lang w:val="el-GR" w:eastAsia="el-GR" w:bidi="ar-SA"/>
              </w:rPr>
              <w:t>ΙΩΑΝΝΗΣ ΒΡΟΥΤΣΗΣ</w:t>
            </w:r>
          </w:p>
          <w:p>
            <w:pPr>
              <w:pStyle w:val="Normal"/>
              <w:widowControl/>
              <w:spacing w:before="0" w:after="0"/>
              <w:jc w:val="center"/>
              <w:rPr>
                <w:rFonts w:ascii="Calibri" w:hAnsi="Calibri" w:cs="Calibri" w:asciiTheme="minorHAnsi" w:cstheme="minorHAnsi" w:hAnsiTheme="minorHAnsi"/>
                <w:b/>
                <w:b/>
                <w:sz w:val="24"/>
                <w:szCs w:val="24"/>
              </w:rPr>
            </w:pPr>
            <w:r>
              <w:rPr>
                <w:rFonts w:eastAsia="Times New Roman" w:cs="Calibri" w:cstheme="minorHAnsi"/>
                <w:b/>
                <w:kern w:val="0"/>
                <w:sz w:val="24"/>
                <w:szCs w:val="24"/>
                <w:lang w:val="el-GR" w:eastAsia="el-GR" w:bidi="ar-SA"/>
              </w:rPr>
            </w:r>
          </w:p>
          <w:p>
            <w:pPr>
              <w:pStyle w:val="Normal"/>
              <w:widowControl/>
              <w:spacing w:before="0" w:after="0"/>
              <w:jc w:val="center"/>
              <w:rPr>
                <w:rFonts w:ascii="Calibri" w:hAnsi="Calibri" w:cs="Calibri" w:asciiTheme="minorHAnsi" w:cstheme="minorHAnsi" w:hAnsiTheme="minorHAnsi"/>
                <w:b/>
                <w:b/>
                <w:sz w:val="24"/>
                <w:szCs w:val="24"/>
              </w:rPr>
            </w:pPr>
            <w:r>
              <w:rPr>
                <w:rFonts w:eastAsia="Times New Roman" w:cs="Calibri" w:cstheme="minorHAnsi"/>
                <w:b/>
                <w:kern w:val="0"/>
                <w:sz w:val="24"/>
                <w:szCs w:val="24"/>
                <w:lang w:val="el-GR" w:eastAsia="el-GR" w:bidi="ar-SA"/>
              </w:rPr>
            </w:r>
          </w:p>
        </w:tc>
      </w:tr>
    </w:tbl>
    <w:p>
      <w:pPr>
        <w:pStyle w:val="Normal"/>
        <w:spacing w:before="0" w:after="0"/>
        <w:jc w:val="center"/>
        <w:rPr>
          <w:rFonts w:ascii="Calibri" w:hAnsi="Calibri" w:cs="Calibri" w:asciiTheme="minorHAnsi" w:cstheme="minorHAnsi" w:hAnsiTheme="minorHAnsi"/>
          <w:b/>
          <w:b/>
          <w:sz w:val="24"/>
          <w:szCs w:val="24"/>
        </w:rPr>
      </w:pPr>
      <w:r>
        <w:rPr>
          <w:rFonts w:cs="Calibri" w:cstheme="minorHAnsi"/>
          <w:b/>
          <w:sz w:val="24"/>
          <w:szCs w:val="24"/>
        </w:rPr>
      </w:r>
    </w:p>
    <w:p>
      <w:pPr>
        <w:pStyle w:val="Normal"/>
        <w:spacing w:before="0" w:after="0"/>
        <w:jc w:val="both"/>
        <w:rPr>
          <w:rFonts w:ascii="Calibri" w:hAnsi="Calibri" w:cs="Calibri" w:asciiTheme="minorHAnsi" w:cstheme="minorHAnsi" w:hAnsiTheme="minorHAnsi"/>
          <w:b/>
          <w:b/>
          <w:sz w:val="24"/>
          <w:szCs w:val="24"/>
        </w:rPr>
      </w:pPr>
      <w:r>
        <w:rPr>
          <w:rFonts w:cs="Calibri" w:cstheme="minorHAnsi"/>
          <w:b/>
          <w:sz w:val="24"/>
          <w:szCs w:val="24"/>
        </w:rPr>
        <w:tab/>
        <w:tab/>
        <w:tab/>
        <w:t xml:space="preserve">       </w:t>
      </w:r>
    </w:p>
    <w:p>
      <w:pPr>
        <w:pStyle w:val="Normal"/>
        <w:spacing w:before="0" w:after="0"/>
        <w:jc w:val="both"/>
        <w:rPr>
          <w:rFonts w:ascii="Calibri" w:hAnsi="Calibri" w:cs="Calibri" w:asciiTheme="minorHAnsi" w:cstheme="minorHAnsi" w:hAnsiTheme="minorHAnsi"/>
          <w:b/>
          <w:b/>
          <w:sz w:val="24"/>
          <w:szCs w:val="24"/>
        </w:rPr>
      </w:pPr>
      <w:r>
        <w:rPr>
          <w:rFonts w:cs="Calibri" w:cstheme="minorHAnsi"/>
          <w:b/>
          <w:sz w:val="24"/>
          <w:szCs w:val="24"/>
        </w:rPr>
      </w:r>
    </w:p>
    <w:p>
      <w:pPr>
        <w:pStyle w:val="Normal"/>
        <w:spacing w:before="0" w:after="0"/>
        <w:jc w:val="both"/>
        <w:rPr>
          <w:rFonts w:ascii="Calibri" w:hAnsi="Calibri" w:cs="Calibri" w:asciiTheme="minorHAnsi" w:cstheme="minorHAnsi" w:hAnsiTheme="minorHAnsi"/>
          <w:b/>
          <w:b/>
          <w:sz w:val="24"/>
          <w:szCs w:val="24"/>
        </w:rPr>
      </w:pPr>
      <w:r>
        <w:rPr>
          <w:rFonts w:cs="Calibri" w:cstheme="minorHAnsi"/>
          <w:b/>
          <w:sz w:val="24"/>
          <w:szCs w:val="24"/>
        </w:rPr>
      </w:r>
    </w:p>
    <w:p>
      <w:pPr>
        <w:pStyle w:val="Normal"/>
        <w:spacing w:before="0" w:after="0"/>
        <w:jc w:val="both"/>
        <w:rPr>
          <w:rFonts w:ascii="Calibri" w:hAnsi="Calibri" w:cs="Calibri" w:asciiTheme="minorHAnsi" w:cstheme="minorHAnsi" w:hAnsiTheme="minorHAnsi"/>
          <w:b/>
          <w:b/>
          <w:sz w:val="24"/>
          <w:szCs w:val="24"/>
        </w:rPr>
      </w:pPr>
      <w:r>
        <w:rPr>
          <w:rFonts w:cs="Calibri" w:cstheme="minorHAnsi"/>
          <w:b/>
          <w:sz w:val="24"/>
          <w:szCs w:val="24"/>
        </w:rPr>
      </w:r>
    </w:p>
    <w:p>
      <w:pPr>
        <w:pStyle w:val="Normal"/>
        <w:spacing w:before="0" w:after="0"/>
        <w:jc w:val="both"/>
        <w:rPr>
          <w:rFonts w:ascii="Calibri" w:hAnsi="Calibri" w:cs="Calibri" w:asciiTheme="minorHAnsi" w:cstheme="minorHAnsi" w:hAnsiTheme="minorHAnsi"/>
          <w:b/>
          <w:b/>
          <w:sz w:val="24"/>
          <w:szCs w:val="24"/>
        </w:rPr>
      </w:pPr>
      <w:r>
        <w:rPr>
          <w:rFonts w:cs="Calibri" w:cstheme="minorHAnsi"/>
          <w:b/>
          <w:sz w:val="24"/>
          <w:szCs w:val="24"/>
        </w:rPr>
      </w:r>
    </w:p>
    <w:p>
      <w:pPr>
        <w:pStyle w:val="Normal"/>
        <w:spacing w:before="0" w:after="0"/>
        <w:jc w:val="both"/>
        <w:rPr>
          <w:rFonts w:ascii="Calibri" w:hAnsi="Calibri" w:cs="Calibri" w:asciiTheme="minorHAnsi" w:cstheme="minorHAnsi" w:hAnsiTheme="minorHAnsi"/>
          <w:b/>
          <w:b/>
          <w:sz w:val="24"/>
          <w:szCs w:val="24"/>
        </w:rPr>
      </w:pPr>
      <w:r>
        <w:rPr>
          <w:rFonts w:cs="Calibri" w:cstheme="minorHAnsi"/>
          <w:b/>
          <w:sz w:val="24"/>
          <w:szCs w:val="24"/>
        </w:rPr>
        <w:t xml:space="preserve">                      </w:t>
      </w:r>
    </w:p>
    <w:p>
      <w:pPr>
        <w:pStyle w:val="Normal"/>
        <w:spacing w:before="0" w:after="0"/>
        <w:jc w:val="both"/>
        <w:rPr>
          <w:rFonts w:ascii="Calibri" w:hAnsi="Calibri" w:cs="Calibri" w:asciiTheme="minorHAnsi" w:cstheme="minorHAnsi" w:hAnsiTheme="minorHAnsi"/>
          <w:b/>
          <w:b/>
          <w:sz w:val="24"/>
          <w:szCs w:val="24"/>
        </w:rPr>
      </w:pPr>
      <w:r>
        <w:rPr>
          <w:rFonts w:cs="Calibri" w:cstheme="minorHAnsi"/>
          <w:b/>
          <w:sz w:val="24"/>
          <w:szCs w:val="24"/>
        </w:rPr>
      </w:r>
    </w:p>
    <w:p>
      <w:pPr>
        <w:pStyle w:val="Normal"/>
        <w:spacing w:before="0" w:after="0"/>
        <w:jc w:val="both"/>
        <w:rPr>
          <w:rFonts w:ascii="Calibri" w:hAnsi="Calibri" w:cs="Calibri" w:asciiTheme="minorHAnsi" w:cstheme="minorHAnsi" w:hAnsiTheme="minorHAnsi"/>
          <w:b/>
          <w:b/>
          <w:sz w:val="24"/>
          <w:szCs w:val="24"/>
        </w:rPr>
      </w:pPr>
      <w:r>
        <w:rPr>
          <w:rFonts w:cs="Calibri" w:cstheme="minorHAnsi"/>
          <w:b/>
          <w:sz w:val="24"/>
          <w:szCs w:val="24"/>
        </w:rPr>
      </w:r>
    </w:p>
    <w:p>
      <w:pPr>
        <w:pStyle w:val="Normal"/>
        <w:spacing w:before="0" w:after="0"/>
        <w:jc w:val="both"/>
        <w:rPr>
          <w:rFonts w:ascii="Calibri" w:hAnsi="Calibri" w:cs="Calibri" w:asciiTheme="minorHAnsi" w:cstheme="minorHAnsi" w:hAnsiTheme="minorHAnsi"/>
          <w:b/>
          <w:b/>
          <w:sz w:val="24"/>
          <w:szCs w:val="24"/>
        </w:rPr>
      </w:pPr>
      <w:r>
        <w:rPr>
          <w:rFonts w:cs="Calibri" w:cstheme="minorHAnsi"/>
          <w:b/>
          <w:sz w:val="24"/>
          <w:szCs w:val="24"/>
        </w:rPr>
      </w:r>
    </w:p>
    <w:p>
      <w:pPr>
        <w:pStyle w:val="Normal"/>
        <w:spacing w:before="0" w:after="0"/>
        <w:jc w:val="both"/>
        <w:rPr>
          <w:rFonts w:ascii="Calibri" w:hAnsi="Calibri" w:cs="Calibri" w:asciiTheme="minorHAnsi" w:cstheme="minorHAnsi" w:hAnsiTheme="minorHAnsi"/>
          <w:b/>
          <w:b/>
          <w:sz w:val="24"/>
          <w:szCs w:val="24"/>
        </w:rPr>
      </w:pPr>
      <w:r>
        <w:rPr>
          <w:rFonts w:cs="Calibri" w:cstheme="minorHAnsi"/>
          <w:b/>
          <w:sz w:val="24"/>
          <w:szCs w:val="24"/>
        </w:rPr>
      </w:r>
    </w:p>
    <w:p>
      <w:pPr>
        <w:pStyle w:val="Normal"/>
        <w:spacing w:before="0" w:after="0"/>
        <w:jc w:val="both"/>
        <w:rPr>
          <w:rFonts w:ascii="Calibri" w:hAnsi="Calibri" w:cs="Calibri" w:asciiTheme="minorHAnsi" w:cstheme="minorHAnsi" w:hAnsiTheme="minorHAnsi"/>
          <w:b/>
          <w:b/>
          <w:sz w:val="24"/>
          <w:szCs w:val="24"/>
        </w:rPr>
      </w:pPr>
      <w:r>
        <w:rPr>
          <w:rFonts w:cs="Calibri" w:cstheme="minorHAnsi"/>
          <w:b/>
          <w:sz w:val="24"/>
          <w:szCs w:val="24"/>
        </w:rPr>
        <w:t xml:space="preserve">        </w:t>
      </w:r>
    </w:p>
    <w:p>
      <w:pPr>
        <w:pStyle w:val="Normal"/>
        <w:spacing w:before="0" w:after="0"/>
        <w:jc w:val="both"/>
        <w:rPr>
          <w:rFonts w:ascii="Calibri" w:hAnsi="Calibri" w:cs="Calibri" w:asciiTheme="minorHAnsi" w:cstheme="minorHAnsi" w:hAnsiTheme="minorHAnsi"/>
          <w:b/>
          <w:b/>
          <w:sz w:val="24"/>
          <w:szCs w:val="24"/>
        </w:rPr>
      </w:pPr>
      <w:r>
        <w:rPr>
          <w:rFonts w:cs="Calibri" w:cstheme="minorHAnsi"/>
          <w:b/>
          <w:sz w:val="24"/>
          <w:szCs w:val="24"/>
        </w:rPr>
      </w:r>
    </w:p>
    <w:p>
      <w:pPr>
        <w:pStyle w:val="Normal"/>
        <w:spacing w:before="0" w:after="0"/>
        <w:jc w:val="both"/>
        <w:rPr>
          <w:rFonts w:ascii="Calibri" w:hAnsi="Calibri" w:cs="Calibri" w:asciiTheme="minorHAnsi" w:cstheme="minorHAnsi" w:hAnsiTheme="minorHAnsi"/>
          <w:sz w:val="24"/>
          <w:szCs w:val="24"/>
        </w:rPr>
      </w:pPr>
      <w:r>
        <w:rPr>
          <w:rFonts w:cs="Calibri" w:cstheme="minorHAnsi"/>
          <w:b/>
          <w:sz w:val="24"/>
          <w:szCs w:val="24"/>
        </w:rPr>
        <w:t xml:space="preserve">ΚΟΙΝΟΠΟΙΗΣΗ: </w:t>
      </w:r>
    </w:p>
    <w:p>
      <w:pPr>
        <w:pStyle w:val="Normal"/>
        <w:spacing w:before="0" w:after="0"/>
        <w:jc w:val="both"/>
        <w:rPr>
          <w:rFonts w:ascii="Calibri" w:hAnsi="Calibri" w:cs="Calibri" w:asciiTheme="minorHAnsi" w:cstheme="minorHAnsi" w:hAnsiTheme="minorHAnsi"/>
          <w:b/>
          <w:b/>
          <w:sz w:val="24"/>
          <w:szCs w:val="24"/>
        </w:rPr>
      </w:pPr>
      <w:r>
        <w:rPr>
          <w:rFonts w:cs="Calibri" w:cstheme="minorHAnsi"/>
          <w:sz w:val="24"/>
          <w:szCs w:val="24"/>
        </w:rPr>
        <w:t xml:space="preserve">1. Εθνικό Τυπογραφείο (Για δημοσίευση) </w:t>
      </w:r>
    </w:p>
    <w:p>
      <w:pPr>
        <w:pStyle w:val="Normal"/>
        <w:spacing w:before="0" w:after="0"/>
        <w:jc w:val="both"/>
        <w:rPr>
          <w:rFonts w:ascii="Calibri" w:hAnsi="Calibri" w:cs="Calibri" w:asciiTheme="minorHAnsi" w:cstheme="minorHAnsi" w:hAnsiTheme="minorHAnsi"/>
          <w:b/>
          <w:b/>
          <w:sz w:val="24"/>
          <w:szCs w:val="24"/>
        </w:rPr>
      </w:pPr>
      <w:r>
        <w:rPr>
          <w:rFonts w:cs="Calibri" w:cstheme="minorHAnsi"/>
          <w:b/>
          <w:sz w:val="24"/>
          <w:szCs w:val="24"/>
        </w:rPr>
      </w:r>
    </w:p>
    <w:p>
      <w:pPr>
        <w:pStyle w:val="Normal"/>
        <w:spacing w:before="0" w:after="0"/>
        <w:jc w:val="both"/>
        <w:rPr>
          <w:rFonts w:ascii="Calibri" w:hAnsi="Calibri" w:cs="Calibri" w:asciiTheme="minorHAnsi" w:cstheme="minorHAnsi" w:hAnsiTheme="minorHAnsi"/>
          <w:sz w:val="24"/>
          <w:szCs w:val="24"/>
        </w:rPr>
      </w:pPr>
      <w:r>
        <w:rPr>
          <w:rFonts w:cs="Calibri" w:cstheme="minorHAnsi"/>
          <w:b/>
          <w:sz w:val="24"/>
          <w:szCs w:val="24"/>
        </w:rPr>
        <w:t xml:space="preserve">ΕΣΩΤΕΡΙΚΗ ΔΙΑΝΟΜΗ: </w:t>
      </w:r>
    </w:p>
    <w:p>
      <w:pPr>
        <w:pStyle w:val="Default"/>
        <w:spacing w:lineRule="auto" w:line="276"/>
        <w:rPr>
          <w:rFonts w:ascii="Calibri" w:hAnsi="Calibri" w:cs="Calibri" w:asciiTheme="minorHAnsi" w:cstheme="minorHAnsi" w:hAnsiTheme="minorHAnsi"/>
        </w:rPr>
      </w:pPr>
      <w:r>
        <w:rPr>
          <w:rFonts w:cs="Calibri" w:ascii="Calibri" w:hAnsi="Calibri" w:asciiTheme="minorHAnsi" w:cstheme="minorHAnsi" w:hAnsiTheme="minorHAnsi"/>
        </w:rPr>
        <w:t xml:space="preserve">1. Γραφείο κ. Υπουργού </w:t>
      </w:r>
    </w:p>
    <w:p>
      <w:pPr>
        <w:pStyle w:val="Default"/>
        <w:spacing w:lineRule="auto" w:line="276" w:before="0" w:after="64"/>
        <w:rPr>
          <w:rFonts w:ascii="Calibri" w:hAnsi="Calibri" w:cs="Calibri" w:asciiTheme="minorHAnsi" w:cstheme="minorHAnsi" w:hAnsiTheme="minorHAnsi"/>
        </w:rPr>
      </w:pPr>
      <w:r>
        <w:rPr>
          <w:rFonts w:cs="Calibri" w:ascii="Calibri" w:hAnsi="Calibri" w:asciiTheme="minorHAnsi" w:cstheme="minorHAnsi" w:hAnsiTheme="minorHAnsi"/>
        </w:rPr>
        <w:t xml:space="preserve">2. Γραφείο κ. Γενικής Γραμματέως Εργασίας </w:t>
      </w:r>
    </w:p>
    <w:p>
      <w:pPr>
        <w:pStyle w:val="Default"/>
        <w:spacing w:lineRule="auto" w:line="276"/>
        <w:rPr>
          <w:rFonts w:ascii="Calibri" w:hAnsi="Calibri" w:cs="Calibri" w:asciiTheme="minorHAnsi" w:cstheme="minorHAnsi" w:hAnsiTheme="minorHAnsi"/>
        </w:rPr>
      </w:pPr>
      <w:r>
        <w:rPr>
          <w:rFonts w:cs="Calibri" w:ascii="Calibri" w:hAnsi="Calibri" w:asciiTheme="minorHAnsi" w:cstheme="minorHAnsi" w:hAnsiTheme="minorHAnsi"/>
        </w:rPr>
        <w:t xml:space="preserve">3. Γραφείο κ. Προϊσταμένου Γενικής Διεύθυνσης Εργασιακών Σχέσεων, Υγείας και Ασφάλειας στην Εργασία και Ένταξης στην Εργασία </w:t>
      </w:r>
    </w:p>
    <w:p>
      <w:pPr>
        <w:pStyle w:val="Default"/>
        <w:spacing w:lineRule="auto" w:line="276"/>
        <w:rPr>
          <w:rFonts w:ascii="Calibri" w:hAnsi="Calibri" w:cs="Calibri" w:asciiTheme="minorHAnsi" w:cstheme="minorHAnsi" w:hAnsiTheme="minorHAnsi"/>
        </w:rPr>
      </w:pPr>
      <w:r>
        <w:rPr>
          <w:rFonts w:cs="Calibri" w:ascii="Calibri" w:hAnsi="Calibri" w:asciiTheme="minorHAnsi" w:cstheme="minorHAnsi" w:hAnsiTheme="minorHAnsi"/>
        </w:rPr>
        <w:t>4. Δ10</w:t>
      </w:r>
    </w:p>
    <w:p>
      <w:pPr>
        <w:pStyle w:val="Default"/>
        <w:spacing w:lineRule="auto" w:line="276"/>
        <w:rPr>
          <w:rFonts w:ascii="Calibri" w:hAnsi="Calibri" w:cs="Calibri" w:asciiTheme="minorHAnsi" w:cstheme="minorHAnsi" w:hAnsiTheme="minorHAnsi"/>
        </w:rPr>
      </w:pPr>
      <w:r>
        <w:rPr>
          <w:rFonts w:cs="Calibri" w:ascii="Calibri" w:hAnsi="Calibri" w:asciiTheme="minorHAnsi" w:cstheme="minorHAnsi" w:hAnsiTheme="minorHAnsi"/>
        </w:rPr>
        <w:t xml:space="preserve">5. Δ7 </w:t>
      </w:r>
    </w:p>
    <w:p>
      <w:pPr>
        <w:pStyle w:val="Default"/>
        <w:spacing w:lineRule="auto" w:line="276"/>
        <w:rPr>
          <w:rFonts w:ascii="Calibri" w:hAnsi="Calibri" w:cs="Calibri" w:asciiTheme="minorHAnsi" w:cstheme="minorHAnsi" w:hAnsiTheme="minorHAnsi"/>
        </w:rPr>
      </w:pPr>
      <w:r>
        <w:rPr>
          <w:rFonts w:cs="Calibri" w:cstheme="minorHAnsi" w:ascii="Calibri" w:hAnsi="Calibri"/>
        </w:rPr>
      </w:r>
    </w:p>
    <w:p>
      <w:pPr>
        <w:pStyle w:val="Normal"/>
        <w:spacing w:before="0" w:after="0"/>
        <w:jc w:val="both"/>
        <w:rPr>
          <w:rFonts w:ascii="Calibri" w:hAnsi="Calibri" w:cs="Calibri" w:asciiTheme="minorHAnsi" w:cstheme="minorHAnsi" w:hAnsiTheme="minorHAnsi"/>
          <w:sz w:val="24"/>
          <w:szCs w:val="24"/>
        </w:rPr>
      </w:pPr>
      <w:r>
        <w:rPr>
          <w:rFonts w:cs="Calibri" w:cstheme="minorHAnsi"/>
          <w:sz w:val="24"/>
          <w:szCs w:val="24"/>
        </w:rPr>
      </w:r>
    </w:p>
    <w:p>
      <w:pPr>
        <w:pStyle w:val="Normal"/>
        <w:spacing w:before="0" w:after="0"/>
        <w:rPr>
          <w:rFonts w:ascii="Calibri" w:hAnsi="Calibri" w:cs="Calibri" w:asciiTheme="minorHAnsi" w:cstheme="minorHAnsi" w:hAnsiTheme="minorHAnsi"/>
          <w:sz w:val="24"/>
          <w:szCs w:val="24"/>
        </w:rPr>
      </w:pPr>
      <w:r>
        <w:rPr/>
      </w:r>
    </w:p>
    <w:sectPr>
      <w:footerReference w:type="default" r:id="rId3"/>
      <w:type w:val="nextPage"/>
      <w:pgSz w:w="11906" w:h="16838"/>
      <w:pgMar w:left="1800" w:right="1983" w:header="0" w:top="1440" w:footer="708" w:bottom="127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ahoma">
    <w:charset w:val="a1"/>
    <w:family w:val="roman"/>
    <w:pitch w:val="variable"/>
  </w:font>
  <w:font w:name="Courier New">
    <w:charset w:val="a1"/>
    <w:family w:val="roman"/>
    <w:pitch w:val="variable"/>
  </w:font>
  <w:font w:name="Liberation Sans">
    <w:altName w:val="Arial"/>
    <w:charset w:val="a1"/>
    <w:family w:val="swiss"/>
    <w:pitch w:val="variable"/>
  </w:font>
  <w:font w:name="Segoe UI">
    <w:charset w:val="a1"/>
    <w:family w:val="roman"/>
    <w:pitch w:val="variable"/>
  </w:font>
  <w:font w:name="Times New Roman">
    <w:charset w:val="a1"/>
    <w:family w:val="roman"/>
    <w:pitch w:val="variable"/>
  </w:font>
  <w:font w:name="MyriadPro-Regular">
    <w:charset w:val="a1"/>
    <w:family w:val="roman"/>
    <w:pitch w:val="variable"/>
  </w:font>
  <w:font w:name="Verdana">
    <w:charset w:val="a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01909348"/>
    </w:sdtPr>
    <w:sdtContent>
      <w:p>
        <w:pPr>
          <w:pStyle w:val="Style23"/>
          <w:jc w:val="right"/>
          <w:rPr/>
        </w:pPr>
        <w:r>
          <w:rPr/>
          <w:fldChar w:fldCharType="begin"/>
        </w:r>
        <w:r>
          <w:rPr/>
          <w:instrText> PAGE </w:instrText>
        </w:r>
        <w:r>
          <w:rPr/>
          <w:fldChar w:fldCharType="separate"/>
        </w:r>
        <w:r>
          <w:rPr/>
          <w:t>8</w:t>
        </w:r>
        <w:r>
          <w:rPr/>
          <w:fldChar w:fldCharType="end"/>
        </w:r>
      </w:p>
    </w:sdtContent>
  </w:sdt>
  <w:p>
    <w:pPr>
      <w:pStyle w:val="Style23"/>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l-GR" w:eastAsia="el-GR" w:bidi="ar-SA"/>
      </w:rPr>
    </w:rPrDefault>
    <w:pPrDefault>
      <w:pPr>
        <w:suppressAutoHyphens w:val="true"/>
      </w:pPr>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qFormat="1"/>
    <w:lsdException w:name="annotation reference" w:uiPriority="99"/>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Hyperlink" w:uiPriority="99"/>
    <w:lsdException w:name="FollowedHyperlink" w:uiPriority="99"/>
    <w:lsdException w:name="Strong" w:locked="1" w:semiHidden="0" w:unhideWhenUsed="0" w:qFormat="1"/>
    <w:lsdException w:name="Emphasis" w:locked="1" w:semiHidden="0" w:unhideWhenUsed="0" w:qFormat="1"/>
    <w:lsdException w:name="Normal (Web)" w:uiPriority="99"/>
    <w:lsdException w:name="HTML Preformatted" w:uiPriority="99"/>
    <w:lsdException w:name="No List" w:uiPriority="99"/>
    <w:lsdException w:name="Balloon Text" w:uiPriority="99" w:semiHidden="0" w:unhideWhenUsed="0"/>
    <w:lsdException w:name="Table Grid" w:locked="1" w:uiPriority="59"/>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b3614"/>
    <w:pPr>
      <w:widowControl/>
      <w:bidi w:val="0"/>
      <w:spacing w:lineRule="auto" w:line="276" w:before="0" w:after="200"/>
      <w:jc w:val="left"/>
    </w:pPr>
    <w:rPr>
      <w:rFonts w:ascii="Calibri" w:hAnsi="Calibri" w:eastAsia="Times New Roman" w:cs="Times New Roman"/>
      <w:color w:val="auto"/>
      <w:kern w:val="0"/>
      <w:sz w:val="22"/>
      <w:szCs w:val="22"/>
      <w:lang w:val="el-GR" w:eastAsia="el-GR" w:bidi="ar-SA"/>
    </w:rPr>
  </w:style>
  <w:style w:type="character" w:styleId="DefaultParagraphFont" w:default="1">
    <w:name w:val="Default Paragraph Font"/>
    <w:uiPriority w:val="1"/>
    <w:semiHidden/>
    <w:unhideWhenUsed/>
    <w:qFormat/>
    <w:rPr/>
  </w:style>
  <w:style w:type="character" w:styleId="Char" w:customStyle="1">
    <w:name w:val="Κείμενο πλαισίου Char"/>
    <w:basedOn w:val="DefaultParagraphFont"/>
    <w:link w:val="a3"/>
    <w:uiPriority w:val="99"/>
    <w:semiHidden/>
    <w:qFormat/>
    <w:locked/>
    <w:rsid w:val="000859cd"/>
    <w:rPr>
      <w:rFonts w:ascii="Tahoma" w:hAnsi="Tahoma" w:cs="Tahoma"/>
      <w:sz w:val="16"/>
      <w:szCs w:val="16"/>
    </w:rPr>
  </w:style>
  <w:style w:type="character" w:styleId="HTMLChar" w:customStyle="1">
    <w:name w:val="Προ-διαμορφωμένο HTML Char"/>
    <w:basedOn w:val="DefaultParagraphFont"/>
    <w:link w:val="-HTML"/>
    <w:uiPriority w:val="99"/>
    <w:qFormat/>
    <w:rsid w:val="00ad48ac"/>
    <w:rPr>
      <w:rFonts w:ascii="Courier New" w:hAnsi="Courier New" w:eastAsia="Calibri"/>
      <w:lang w:eastAsia="en-US"/>
    </w:rPr>
  </w:style>
  <w:style w:type="character" w:styleId="Annotationreference">
    <w:name w:val="annotation reference"/>
    <w:uiPriority w:val="99"/>
    <w:qFormat/>
    <w:rsid w:val="00ad48ac"/>
    <w:rPr>
      <w:sz w:val="16"/>
      <w:szCs w:val="16"/>
    </w:rPr>
  </w:style>
  <w:style w:type="character" w:styleId="Char1" w:customStyle="1">
    <w:name w:val="Κείμενο σχολίου Char"/>
    <w:basedOn w:val="DefaultParagraphFont"/>
    <w:link w:val="a6"/>
    <w:uiPriority w:val="99"/>
    <w:qFormat/>
    <w:rsid w:val="00ad48ac"/>
    <w:rPr>
      <w:lang w:eastAsia="en-US"/>
    </w:rPr>
  </w:style>
  <w:style w:type="character" w:styleId="Char2" w:customStyle="1">
    <w:name w:val="Θέμα σχολίου Char"/>
    <w:basedOn w:val="Char1"/>
    <w:link w:val="a7"/>
    <w:semiHidden/>
    <w:qFormat/>
    <w:rsid w:val="00d827dc"/>
    <w:rPr>
      <w:b/>
      <w:bCs/>
      <w:lang w:eastAsia="en-US"/>
    </w:rPr>
  </w:style>
  <w:style w:type="character" w:styleId="Char3" w:customStyle="1">
    <w:name w:val="Κεφαλίδα Char"/>
    <w:basedOn w:val="DefaultParagraphFont"/>
    <w:link w:val="a8"/>
    <w:uiPriority w:val="99"/>
    <w:qFormat/>
    <w:rsid w:val="00a92739"/>
    <w:rPr>
      <w:sz w:val="22"/>
      <w:szCs w:val="22"/>
    </w:rPr>
  </w:style>
  <w:style w:type="character" w:styleId="Char4" w:customStyle="1">
    <w:name w:val="Υποσέλιδο Char"/>
    <w:basedOn w:val="DefaultParagraphFont"/>
    <w:link w:val="a9"/>
    <w:uiPriority w:val="99"/>
    <w:qFormat/>
    <w:rsid w:val="00a92739"/>
    <w:rPr>
      <w:sz w:val="22"/>
      <w:szCs w:val="22"/>
    </w:rPr>
  </w:style>
  <w:style w:type="character" w:styleId="Style14">
    <w:name w:val="Σύνδεσμος διαδικτύου"/>
    <w:basedOn w:val="DefaultParagraphFont"/>
    <w:uiPriority w:val="99"/>
    <w:semiHidden/>
    <w:unhideWhenUsed/>
    <w:rsid w:val="0033162c"/>
    <w:rPr>
      <w:color w:val="0000FF"/>
      <w:u w:val="single"/>
    </w:rPr>
  </w:style>
  <w:style w:type="character" w:styleId="Char5" w:customStyle="1">
    <w:name w:val="Παράγραφος λίστας Char"/>
    <w:link w:val="a4"/>
    <w:uiPriority w:val="34"/>
    <w:qFormat/>
    <w:rsid w:val="00196731"/>
    <w:rPr>
      <w:sz w:val="22"/>
      <w:szCs w:val="22"/>
    </w:rPr>
  </w:style>
  <w:style w:type="character" w:styleId="WW8Num1z2" w:customStyle="1">
    <w:name w:val="WW8Num1z2"/>
    <w:qFormat/>
    <w:rsid w:val="00b8610f"/>
    <w:rPr/>
  </w:style>
  <w:style w:type="character" w:styleId="Style15">
    <w:name w:val="Αναγνωσμένος δεσμός διαδικτύου"/>
    <w:basedOn w:val="DefaultParagraphFont"/>
    <w:uiPriority w:val="99"/>
    <w:semiHidden/>
    <w:unhideWhenUsed/>
    <w:rsid w:val="00014452"/>
    <w:rPr>
      <w:color w:val="800080"/>
      <w:u w:val="single"/>
    </w:rPr>
  </w:style>
  <w:style w:type="paragraph" w:styleId="Style16">
    <w:name w:val="Επικεφαλίδα"/>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Ευρετήριο"/>
    <w:basedOn w:val="Normal"/>
    <w:qFormat/>
    <w:pPr>
      <w:suppressLineNumbers/>
    </w:pPr>
    <w:rPr>
      <w:rFonts w:cs="Lucida Sans"/>
    </w:rPr>
  </w:style>
  <w:style w:type="paragraph" w:styleId="BalloonText">
    <w:name w:val="Balloon Text"/>
    <w:basedOn w:val="Normal"/>
    <w:link w:val="Char"/>
    <w:uiPriority w:val="99"/>
    <w:semiHidden/>
    <w:qFormat/>
    <w:rsid w:val="000859cd"/>
    <w:pPr>
      <w:spacing w:lineRule="auto" w:line="240" w:before="0" w:after="0"/>
    </w:pPr>
    <w:rPr>
      <w:rFonts w:ascii="Tahoma" w:hAnsi="Tahoma" w:cs="Tahoma"/>
      <w:sz w:val="16"/>
      <w:szCs w:val="16"/>
    </w:rPr>
  </w:style>
  <w:style w:type="paragraph" w:styleId="ListParagraph">
    <w:name w:val="List Paragraph"/>
    <w:basedOn w:val="Normal"/>
    <w:link w:val="Char0"/>
    <w:uiPriority w:val="34"/>
    <w:qFormat/>
    <w:rsid w:val="00d17c5e"/>
    <w:pPr>
      <w:spacing w:before="0" w:after="200"/>
      <w:ind w:left="720" w:hanging="0"/>
      <w:contextualSpacing/>
    </w:pPr>
    <w:rPr/>
  </w:style>
  <w:style w:type="paragraph" w:styleId="Default" w:customStyle="1">
    <w:name w:val="Default"/>
    <w:qFormat/>
    <w:rsid w:val="00197a41"/>
    <w:pPr>
      <w:widowControl/>
      <w:bidi w:val="0"/>
      <w:spacing w:before="0" w:after="0"/>
      <w:jc w:val="left"/>
    </w:pPr>
    <w:rPr>
      <w:rFonts w:ascii="Segoe UI" w:hAnsi="Segoe UI" w:cs="Segoe UI" w:eastAsia="Times New Roman"/>
      <w:color w:val="000000"/>
      <w:kern w:val="0"/>
      <w:sz w:val="24"/>
      <w:szCs w:val="24"/>
      <w:lang w:val="el-GR" w:eastAsia="el-GR" w:bidi="ar-SA"/>
    </w:rPr>
  </w:style>
  <w:style w:type="paragraph" w:styleId="NormalWeb">
    <w:name w:val="Normal (Web)"/>
    <w:basedOn w:val="Normal"/>
    <w:uiPriority w:val="99"/>
    <w:unhideWhenUsed/>
    <w:qFormat/>
    <w:rsid w:val="00a57751"/>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Char"/>
    <w:uiPriority w:val="99"/>
    <w:qFormat/>
    <w:rsid w:val="00ad48ac"/>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Calibri"/>
      <w:sz w:val="20"/>
      <w:szCs w:val="20"/>
      <w:lang w:eastAsia="en-US"/>
    </w:rPr>
  </w:style>
  <w:style w:type="paragraph" w:styleId="Annotationtext">
    <w:name w:val="annotation text"/>
    <w:basedOn w:val="Normal"/>
    <w:link w:val="Char1"/>
    <w:uiPriority w:val="99"/>
    <w:qFormat/>
    <w:rsid w:val="00ad48ac"/>
    <w:pPr>
      <w:spacing w:lineRule="auto" w:line="240" w:before="0" w:after="0"/>
    </w:pPr>
    <w:rPr>
      <w:sz w:val="20"/>
      <w:szCs w:val="20"/>
      <w:lang w:eastAsia="en-US"/>
    </w:rPr>
  </w:style>
  <w:style w:type="paragraph" w:styleId="Annotationsubject">
    <w:name w:val="annotation subject"/>
    <w:basedOn w:val="Annotationtext"/>
    <w:next w:val="Annotationtext"/>
    <w:link w:val="Char2"/>
    <w:semiHidden/>
    <w:unhideWhenUsed/>
    <w:qFormat/>
    <w:rsid w:val="00d827dc"/>
    <w:pPr>
      <w:spacing w:before="0" w:after="200"/>
    </w:pPr>
    <w:rPr>
      <w:b/>
      <w:bCs/>
      <w:lang w:eastAsia="el-GR"/>
    </w:rPr>
  </w:style>
  <w:style w:type="paragraph" w:styleId="Style21">
    <w:name w:val="Κεφαλίδα και υποσέλιδο"/>
    <w:basedOn w:val="Normal"/>
    <w:qFormat/>
    <w:pPr/>
    <w:rPr/>
  </w:style>
  <w:style w:type="paragraph" w:styleId="Style22">
    <w:name w:val="Header"/>
    <w:basedOn w:val="Normal"/>
    <w:link w:val="Char3"/>
    <w:uiPriority w:val="99"/>
    <w:unhideWhenUsed/>
    <w:rsid w:val="00a92739"/>
    <w:pPr>
      <w:tabs>
        <w:tab w:val="clear" w:pos="720"/>
        <w:tab w:val="center" w:pos="4153" w:leader="none"/>
        <w:tab w:val="right" w:pos="8306" w:leader="none"/>
      </w:tabs>
      <w:spacing w:lineRule="auto" w:line="240" w:before="0" w:after="0"/>
    </w:pPr>
    <w:rPr/>
  </w:style>
  <w:style w:type="paragraph" w:styleId="Style23">
    <w:name w:val="Footer"/>
    <w:basedOn w:val="Normal"/>
    <w:link w:val="Char4"/>
    <w:uiPriority w:val="99"/>
    <w:unhideWhenUsed/>
    <w:rsid w:val="00a92739"/>
    <w:pPr>
      <w:tabs>
        <w:tab w:val="clear" w:pos="720"/>
        <w:tab w:val="center" w:pos="4153" w:leader="none"/>
        <w:tab w:val="right" w:pos="8306" w:leader="none"/>
      </w:tabs>
      <w:spacing w:lineRule="auto" w:line="240" w:before="0" w:after="0"/>
    </w:pPr>
    <w:rPr/>
  </w:style>
  <w:style w:type="paragraph" w:styleId="ListParagraph1" w:customStyle="1">
    <w:name w:val="List Paragraph1"/>
    <w:basedOn w:val="Normal"/>
    <w:qFormat/>
    <w:rsid w:val="00226e42"/>
    <w:pPr>
      <w:suppressAutoHyphens w:val="true"/>
      <w:spacing w:before="0" w:after="200"/>
      <w:ind w:left="720" w:hanging="0"/>
      <w:contextualSpacing/>
    </w:pPr>
    <w:rPr>
      <w:rFonts w:eastAsia="Calibri" w:cs="font460"/>
      <w:kern w:val="2"/>
      <w:lang w:eastAsia="en-US"/>
    </w:rPr>
  </w:style>
  <w:style w:type="paragraph" w:styleId="1" w:customStyle="1">
    <w:name w:val="Παράγραφος λίστας1"/>
    <w:basedOn w:val="Normal"/>
    <w:qFormat/>
    <w:rsid w:val="006211e2"/>
    <w:pPr>
      <w:suppressAutoHyphens w:val="true"/>
      <w:spacing w:before="0" w:after="200"/>
      <w:ind w:left="720" w:hanging="0"/>
      <w:contextualSpacing/>
    </w:pPr>
    <w:rPr>
      <w:rFonts w:eastAsia="Calibri"/>
      <w:lang w:eastAsia="en-US"/>
    </w:rPr>
  </w:style>
  <w:style w:type="paragraph" w:styleId="Xl63" w:customStyle="1">
    <w:name w:val="xl63"/>
    <w:basedOn w:val="Normal"/>
    <w:qFormat/>
    <w:rsid w:val="0033162c"/>
    <w:pPr>
      <w:pBdr>
        <w:top w:val="single" w:sz="8" w:space="0" w:color="000000"/>
        <w:left w:val="single" w:sz="8" w:space="0" w:color="000000"/>
        <w:bottom w:val="single" w:sz="8" w:space="0" w:color="000000"/>
        <w:right w:val="single" w:sz="8" w:space="0" w:color="000000"/>
      </w:pBdr>
      <w:spacing w:lineRule="auto" w:line="240" w:beforeAutospacing="1" w:afterAutospacing="1"/>
      <w:textAlignment w:val="center"/>
    </w:pPr>
    <w:rPr>
      <w:rFonts w:ascii="Times New Roman" w:hAnsi="Times New Roman"/>
      <w:sz w:val="20"/>
      <w:szCs w:val="20"/>
    </w:rPr>
  </w:style>
  <w:style w:type="paragraph" w:styleId="Xl64" w:customStyle="1">
    <w:name w:val="xl64"/>
    <w:basedOn w:val="Normal"/>
    <w:qFormat/>
    <w:rsid w:val="0033162c"/>
    <w:pPr>
      <w:pBdr>
        <w:top w:val="single" w:sz="8" w:space="0" w:color="000000"/>
        <w:bottom w:val="single" w:sz="8" w:space="0" w:color="000000"/>
        <w:right w:val="single" w:sz="8" w:space="0" w:color="000000"/>
      </w:pBdr>
      <w:spacing w:lineRule="auto" w:line="240" w:beforeAutospacing="1" w:afterAutospacing="1"/>
      <w:textAlignment w:val="center"/>
    </w:pPr>
    <w:rPr>
      <w:rFonts w:ascii="Times New Roman" w:hAnsi="Times New Roman"/>
      <w:sz w:val="20"/>
      <w:szCs w:val="20"/>
    </w:rPr>
  </w:style>
  <w:style w:type="paragraph" w:styleId="Xl65" w:customStyle="1">
    <w:name w:val="xl65"/>
    <w:basedOn w:val="Normal"/>
    <w:qFormat/>
    <w:rsid w:val="0033162c"/>
    <w:pPr>
      <w:pBdr>
        <w:left w:val="single" w:sz="8" w:space="0" w:color="000000"/>
        <w:bottom w:val="single" w:sz="8" w:space="0" w:color="000000"/>
        <w:right w:val="single" w:sz="8" w:space="0" w:color="000000"/>
      </w:pBdr>
      <w:spacing w:lineRule="auto" w:line="240" w:beforeAutospacing="1" w:afterAutospacing="1"/>
      <w:textAlignment w:val="center"/>
    </w:pPr>
    <w:rPr>
      <w:rFonts w:ascii="Times New Roman" w:hAnsi="Times New Roman"/>
      <w:sz w:val="20"/>
      <w:szCs w:val="20"/>
    </w:rPr>
  </w:style>
  <w:style w:type="paragraph" w:styleId="Xl66" w:customStyle="1">
    <w:name w:val="xl66"/>
    <w:basedOn w:val="Normal"/>
    <w:qFormat/>
    <w:rsid w:val="0033162c"/>
    <w:pPr>
      <w:pBdr>
        <w:bottom w:val="single" w:sz="8" w:space="0" w:color="000000"/>
        <w:right w:val="single" w:sz="8" w:space="0" w:color="000000"/>
      </w:pBdr>
      <w:spacing w:lineRule="auto" w:line="240" w:beforeAutospacing="1" w:afterAutospacing="1"/>
      <w:textAlignment w:val="center"/>
    </w:pPr>
    <w:rPr>
      <w:rFonts w:ascii="Times New Roman" w:hAnsi="Times New Roman"/>
      <w:sz w:val="20"/>
      <w:szCs w:val="20"/>
    </w:rPr>
  </w:style>
  <w:style w:type="paragraph" w:styleId="Xl67" w:customStyle="1">
    <w:name w:val="xl67"/>
    <w:basedOn w:val="Normal"/>
    <w:qFormat/>
    <w:rsid w:val="0033162c"/>
    <w:pPr>
      <w:pBdr>
        <w:bottom w:val="single" w:sz="8" w:space="0" w:color="000000"/>
        <w:right w:val="single" w:sz="8" w:space="0" w:color="000000"/>
      </w:pBdr>
      <w:spacing w:lineRule="auto" w:line="240" w:beforeAutospacing="1" w:afterAutospacing="1"/>
      <w:textAlignment w:val="center"/>
    </w:pPr>
    <w:rPr>
      <w:rFonts w:ascii="Times New Roman" w:hAnsi="Times New Roman"/>
      <w:sz w:val="20"/>
      <w:szCs w:val="20"/>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a">
    <w:name w:val="Table Grid"/>
    <w:basedOn w:val="a1"/>
    <w:uiPriority w:val="59"/>
    <w:unhideWhenUsed/>
    <w:rsid w:val="00453528"/>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B221C-035D-4823-B5F2-2F14A614F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Application>LibreOffice/7.0.1.2$Windows_X86_64 LibreOffice_project/7cbcfc562f6eb6708b5ff7d7397325de9e764452</Application>
  <Pages>32</Pages>
  <Words>9664</Words>
  <Characters>66048</Characters>
  <CharactersWithSpaces>185568</CharactersWithSpaces>
  <Paragraphs>1422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2020-12-04T14:30:00Z</dcterms:created>
  <dc:creator>user</dc:creator>
  <dc:description/>
  <dc:language>el-GR</dc:language>
  <cp:lastModifiedBy>ekalavrou</cp:lastModifiedBy>
  <cp:lastPrinted>2020-12-04T15:09:00Z</cp:lastPrinted>
  <dcterms:modified xsi:type="dcterms:W3CDTF">2020-12-04T15:19:00Z</dcterms:modified>
  <cp:revision>10</cp:revision>
  <dc:subject/>
  <dc:title>ΠΡΟΣΧΕΔΙΟ ΚΥΑ ΓΙΑ ΠΑΡΑΤΑΣΗ ΑΝΑΣΤΟΛΩΝ ΣΥΜΒΑΣΕΩΝ ΕΡΓΑΣΙΑΣ ΕΡΓΑΖΟΜΕΝΩΝ ΕΠΙΧΕΙΡΗΣΕΩΝ ΠΟΥ ΑΝΑΣΤΕΛΛΕΤΑΙ Η ΛΕΙΤΟΥΡΓΙΑ ΤΟΥΣ ΜΕ ΕΝΤΟΛΗ ΔΗΜΟΣΙΑΣ ΑΡΧΗΣ ΙΟΥΝΙΟ &amp; ΙΟΥΛΙΟ 2020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