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17E" w:rsidRPr="00BA2ACC" w:rsidRDefault="00BB76F2">
      <w:pPr>
        <w:pStyle w:val="A3"/>
        <w:spacing w:line="36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noProof/>
          <w:sz w:val="24"/>
          <w:szCs w:val="24"/>
          <w:lang w:val="el-GR" w:eastAsia="el-GR"/>
          <w14:textOutline w14:w="0" w14:cap="rnd" w14:cmpd="sng" w14:algn="ctr">
            <w14:noFill/>
            <w14:prstDash w14:val="solid"/>
            <w14:bevel/>
          </w14:textOutline>
        </w:rPr>
        <w:drawing>
          <wp:inline distT="0" distB="0" distL="0" distR="0">
            <wp:extent cx="527431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713105"/>
                    </a:xfrm>
                    <a:prstGeom prst="rect">
                      <a:avLst/>
                    </a:prstGeom>
                  </pic:spPr>
                </pic:pic>
              </a:graphicData>
            </a:graphic>
          </wp:inline>
        </w:drawing>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BB76F2">
      <w:pPr>
        <w:pStyle w:val="A3"/>
        <w:spacing w:line="360" w:lineRule="auto"/>
        <w:jc w:val="right"/>
        <w:rPr>
          <w:rFonts w:ascii="Times New Roman" w:eastAsia="Times New Roman" w:hAnsi="Times New Roman" w:cs="Times New Roman"/>
          <w:sz w:val="24"/>
          <w:szCs w:val="24"/>
          <w:lang w:val="el-GR"/>
        </w:rPr>
      </w:pPr>
      <w:r>
        <w:rPr>
          <w:rFonts w:ascii="Times New Roman" w:hAnsi="Times New Roman"/>
          <w:sz w:val="24"/>
          <w:szCs w:val="24"/>
          <w:lang w:val="el-GR"/>
        </w:rPr>
        <w:t xml:space="preserve">Δευτέρα, </w:t>
      </w:r>
      <w:r w:rsidRPr="00BB76F2">
        <w:rPr>
          <w:rFonts w:ascii="Times New Roman" w:hAnsi="Times New Roman"/>
          <w:sz w:val="24"/>
          <w:szCs w:val="24"/>
          <w:lang w:val="el-GR"/>
        </w:rPr>
        <w:t>17</w:t>
      </w:r>
      <w:r w:rsidR="0017120C" w:rsidRPr="00BB76F2">
        <w:rPr>
          <w:rFonts w:ascii="Times New Roman" w:hAnsi="Times New Roman"/>
          <w:sz w:val="24"/>
          <w:szCs w:val="24"/>
          <w:lang w:val="el-GR"/>
        </w:rPr>
        <w:t xml:space="preserve"> Αυγούστο</w:t>
      </w:r>
      <w:r w:rsidR="00BA2ACC" w:rsidRPr="00BB76F2">
        <w:rPr>
          <w:rFonts w:ascii="Times New Roman" w:hAnsi="Times New Roman"/>
          <w:sz w:val="24"/>
          <w:szCs w:val="24"/>
          <w:lang w:val="el-GR"/>
        </w:rPr>
        <w:t>υ</w:t>
      </w:r>
      <w:r w:rsidR="0017120C" w:rsidRPr="00BB76F2">
        <w:rPr>
          <w:rFonts w:ascii="Times New Roman" w:hAnsi="Times New Roman"/>
          <w:sz w:val="24"/>
          <w:szCs w:val="24"/>
          <w:lang w:val="el-GR"/>
        </w:rPr>
        <w:t xml:space="preserve"> 2020</w:t>
      </w:r>
      <w:r w:rsidR="0017120C" w:rsidRPr="00BA2ACC">
        <w:rPr>
          <w:rFonts w:ascii="Times New Roman" w:hAnsi="Times New Roman"/>
          <w:sz w:val="24"/>
          <w:szCs w:val="24"/>
          <w:lang w:val="el-GR"/>
        </w:rPr>
        <w:t xml:space="preserve">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b/>
          <w:bCs/>
          <w:sz w:val="24"/>
          <w:szCs w:val="24"/>
          <w:lang w:val="el-GR"/>
        </w:rPr>
      </w:pPr>
      <w:r w:rsidRPr="00BA2ACC">
        <w:rPr>
          <w:rFonts w:ascii="Times New Roman" w:hAnsi="Times New Roman"/>
          <w:b/>
          <w:bCs/>
          <w:sz w:val="24"/>
          <w:szCs w:val="24"/>
          <w:lang w:val="el-GR"/>
        </w:rPr>
        <w:t xml:space="preserve">Παρέμβαση αριθμός 1 </w:t>
      </w:r>
    </w:p>
    <w:p w:rsidR="0031417E" w:rsidRPr="00BA2ACC" w:rsidRDefault="0031417E">
      <w:pPr>
        <w:pStyle w:val="A3"/>
        <w:spacing w:line="360" w:lineRule="auto"/>
        <w:jc w:val="center"/>
        <w:rPr>
          <w:rFonts w:ascii="Times New Roman" w:eastAsia="Times New Roman" w:hAnsi="Times New Roman" w:cs="Times New Roman"/>
          <w:sz w:val="24"/>
          <w:szCs w:val="24"/>
          <w:lang w:val="el-GR"/>
        </w:rPr>
      </w:pPr>
    </w:p>
    <w:p w:rsidR="0031417E" w:rsidRPr="00BA2ACC" w:rsidRDefault="0031417E">
      <w:pPr>
        <w:pStyle w:val="A3"/>
        <w:spacing w:line="360" w:lineRule="auto"/>
        <w:jc w:val="center"/>
        <w:rPr>
          <w:rFonts w:ascii="Times New Roman" w:eastAsia="Times New Roman" w:hAnsi="Times New Roman" w:cs="Times New Roman"/>
          <w:sz w:val="24"/>
          <w:szCs w:val="24"/>
          <w:lang w:val="el-GR"/>
        </w:rPr>
      </w:pPr>
    </w:p>
    <w:p w:rsidR="0031417E" w:rsidRPr="00BA2ACC" w:rsidRDefault="0017120C">
      <w:pPr>
        <w:pStyle w:val="A3"/>
        <w:spacing w:line="360" w:lineRule="auto"/>
        <w:jc w:val="center"/>
        <w:rPr>
          <w:rFonts w:ascii="Times New Roman" w:eastAsia="Times New Roman" w:hAnsi="Times New Roman" w:cs="Times New Roman"/>
          <w:b/>
          <w:bCs/>
          <w:color w:val="auto"/>
          <w:sz w:val="24"/>
          <w:szCs w:val="24"/>
          <w:u w:color="C00000"/>
          <w:lang w:val="el-GR"/>
        </w:rPr>
      </w:pPr>
      <w:r w:rsidRPr="00BA2ACC">
        <w:rPr>
          <w:rFonts w:ascii="Times New Roman" w:hAnsi="Times New Roman"/>
          <w:b/>
          <w:bCs/>
          <w:color w:val="auto"/>
          <w:sz w:val="24"/>
          <w:szCs w:val="24"/>
          <w:u w:color="C00000"/>
          <w:lang w:val="el-GR"/>
        </w:rPr>
        <w:t>Ο πολυεπίπεδος εθνικός σχεδιασμός</w:t>
      </w:r>
    </w:p>
    <w:p w:rsidR="0031417E" w:rsidRPr="00BA2ACC" w:rsidRDefault="0017120C">
      <w:pPr>
        <w:pStyle w:val="A3"/>
        <w:spacing w:line="360" w:lineRule="auto"/>
        <w:jc w:val="center"/>
        <w:rPr>
          <w:rFonts w:ascii="Times New Roman" w:eastAsia="Times New Roman" w:hAnsi="Times New Roman" w:cs="Times New Roman"/>
          <w:b/>
          <w:bCs/>
          <w:color w:val="auto"/>
          <w:sz w:val="24"/>
          <w:szCs w:val="24"/>
          <w:u w:color="C00000"/>
          <w:lang w:val="el-GR"/>
        </w:rPr>
      </w:pPr>
      <w:r w:rsidRPr="00BA2ACC">
        <w:rPr>
          <w:rFonts w:ascii="Times New Roman" w:hAnsi="Times New Roman"/>
          <w:b/>
          <w:bCs/>
          <w:color w:val="auto"/>
          <w:sz w:val="24"/>
          <w:szCs w:val="24"/>
          <w:u w:color="C00000"/>
          <w:lang w:val="el-GR"/>
        </w:rPr>
        <w:t>Οι μεθοδολογικές και συστηματικές προϋποθέσεις</w:t>
      </w:r>
    </w:p>
    <w:p w:rsidR="0031417E" w:rsidRPr="00BA2ACC" w:rsidRDefault="0017120C">
      <w:pPr>
        <w:pStyle w:val="A3"/>
        <w:spacing w:line="360" w:lineRule="auto"/>
        <w:jc w:val="center"/>
        <w:rPr>
          <w:rFonts w:ascii="Times New Roman" w:eastAsia="Times New Roman" w:hAnsi="Times New Roman" w:cs="Times New Roman"/>
          <w:i/>
          <w:iCs/>
          <w:color w:val="auto"/>
          <w:sz w:val="24"/>
          <w:szCs w:val="24"/>
          <w:u w:color="C00000"/>
          <w:lang w:val="el-GR"/>
        </w:rPr>
      </w:pPr>
      <w:r w:rsidRPr="00BA2ACC">
        <w:rPr>
          <w:rFonts w:ascii="Times New Roman" w:hAnsi="Times New Roman"/>
          <w:b/>
          <w:bCs/>
          <w:i/>
          <w:iCs/>
          <w:color w:val="auto"/>
          <w:sz w:val="24"/>
          <w:szCs w:val="24"/>
          <w:u w:color="C00000"/>
          <w:lang w:val="el-GR"/>
        </w:rPr>
        <w:t>Με αφορμή την ενδιάμεση Έκθεση της Επιτροπής Πισσαρίδη</w:t>
      </w:r>
      <w:r w:rsidRPr="00BA2ACC">
        <w:rPr>
          <w:rFonts w:ascii="Times New Roman" w:hAnsi="Times New Roman"/>
          <w:i/>
          <w:iCs/>
          <w:color w:val="auto"/>
          <w:sz w:val="24"/>
          <w:szCs w:val="24"/>
          <w:u w:color="C00000"/>
          <w:lang w:val="el-GR"/>
        </w:rPr>
        <w:t xml:space="preserve"> </w:t>
      </w:r>
    </w:p>
    <w:p w:rsidR="0031417E" w:rsidRPr="00BA2ACC" w:rsidRDefault="0031417E">
      <w:pPr>
        <w:pStyle w:val="A3"/>
        <w:spacing w:line="360" w:lineRule="auto"/>
        <w:jc w:val="center"/>
        <w:rPr>
          <w:rFonts w:ascii="Times New Roman" w:eastAsia="Times New Roman" w:hAnsi="Times New Roman" w:cs="Times New Roman"/>
          <w:sz w:val="28"/>
          <w:szCs w:val="28"/>
          <w:lang w:val="el-GR"/>
        </w:rPr>
      </w:pPr>
    </w:p>
    <w:p w:rsidR="0031417E" w:rsidRPr="00BA2ACC" w:rsidRDefault="0031417E">
      <w:pPr>
        <w:pStyle w:val="A3"/>
        <w:spacing w:line="360" w:lineRule="auto"/>
        <w:jc w:val="both"/>
        <w:rPr>
          <w:rFonts w:ascii="Times New Roman" w:eastAsia="Times New Roman" w:hAnsi="Times New Roman" w:cs="Times New Roman"/>
          <w:sz w:val="24"/>
          <w:szCs w:val="24"/>
          <w:lang w:val="el-GR"/>
        </w:rPr>
      </w:pPr>
      <w:bookmarkStart w:id="0" w:name="_GoBack"/>
      <w:bookmarkEnd w:id="0"/>
    </w:p>
    <w:p w:rsidR="0031417E" w:rsidRPr="00BA2ACC" w:rsidRDefault="0017120C">
      <w:pPr>
        <w:pStyle w:val="A3"/>
        <w:spacing w:line="360" w:lineRule="auto"/>
        <w:jc w:val="both"/>
        <w:rPr>
          <w:rFonts w:ascii="Times New Roman" w:eastAsia="Times New Roman" w:hAnsi="Times New Roman" w:cs="Times New Roman"/>
          <w:b/>
          <w:bCs/>
          <w:sz w:val="24"/>
          <w:szCs w:val="24"/>
          <w:lang w:val="el-GR"/>
        </w:rPr>
      </w:pPr>
      <w:r w:rsidRPr="00BA2ACC">
        <w:rPr>
          <w:rFonts w:ascii="Times New Roman" w:hAnsi="Times New Roman"/>
          <w:b/>
          <w:bCs/>
          <w:sz w:val="24"/>
          <w:szCs w:val="24"/>
          <w:lang w:val="el-GR"/>
        </w:rPr>
        <w:t xml:space="preserve">Α. Η Έκθεση και οι φιλοδοξίες της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Η Έκθεση της Επιτροπής Πισσαρίδη (στο εξής: Έκθεση) που δόθηκε στη δημοσιότητα, έστω στην ενδιάμεση ( δηλαδή όχι τελική ) μορφή της, ανοίγει εκ των πραγμάτων έναν δημόσιο διάλογο που είναι απολύτως αναγκαίος και επείγων.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Η Έκθεση επιχειρεί να παρουσιάσει ένα Σχέδιο Ανάπτυξης, να συνοψίσει διαπιστώσεις και προτάσεις  (από  αυτονόητες έως ριζοσπαστικές)  για το «ελληνικό ζήτημα» γενικά. Για την κατάσταση και τις προοπτικές του ελληνικού κράτους, της ελληνικής κοινωνίας και της ελληνικής οικονομίας. Έχει μεγάλες φιλοδοξίες και θέτει ουσιαστικά  ως στόχο της την αναμόρφωση της χώρας. Είναι μια έκθεση επιστημονική αλλά με εξ αντικειμένου πολιτικό χαρακτήρα, που επιχειρεί να τοποθετηθεί σε σχέση με όλα σχεδόν τα μεγάλα θέματα της δημόσιας συζήτησης.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Είναι συνεπώς λογικό να προτάσσονται στην Έκθεση τα μεγάλα, χρόνια και διαρθρωτικά προβλήματα του κράτους: δημόσια διοίκηση και αυτοδιοίκηση, δικαιοσύνη, φορολογικό σύστημα, ρυθμιστικό πλαίσιο της αγοράς εργασίας,   εκπαιδευτικό σύστημα, σύστημα υγείας, σύστημα κοινωνικών ασφαλίσεων.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lastRenderedPageBreak/>
        <w:t xml:space="preserve">Στα επτά μεγάλα αυτά μέτωπα, προστίθενται  τρία  κρίσιμα πεδία  της οικονομίας στα οποία διαδραματίζει καταλυτικό ρόλο το εθνικό και ευρωπαϊκό ρυθμιστικό πλαίσιο, δηλαδή το κράτος και η Ευρωπαϊκή Ένωση ως θεσμική οντότητα: το χρηματοπιστωτικό σύστημα, η λειτουργία της αγοράς και ο ανταγωνισμός, η ενέργεια. Παρεμβάλλεται αναφορά στην καινοτομία, την έρευνα και τις νέες τεχνολογίες που είναι κορυφαία προτεραιότητα της ΕΕ και όλων των κρατών μελών.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rsidP="00BA2ACC">
      <w:pPr>
        <w:pStyle w:val="A3"/>
        <w:spacing w:line="360" w:lineRule="auto"/>
        <w:jc w:val="both"/>
        <w:rPr>
          <w:sz w:val="24"/>
          <w:szCs w:val="24"/>
          <w:lang w:val="el-GR"/>
        </w:rPr>
      </w:pPr>
      <w:r w:rsidRPr="00BA2ACC">
        <w:rPr>
          <w:rFonts w:ascii="Times New Roman" w:hAnsi="Times New Roman"/>
          <w:sz w:val="24"/>
          <w:szCs w:val="24"/>
          <w:lang w:val="el-GR"/>
        </w:rPr>
        <w:t xml:space="preserve">Στην ενδιάμεση μορφή της  Έκθεσης δεν περιλαμβάνονται, αλλά απλώς εξαγγέλλονται, τα κεφάλαια για τους άξονες της αναπτυξιακής πολιτικής («εξειδίκευση κάθετων πολιτικών ανάπτυξης, συμπεριλαμβανομένων των τομέων πρωτογενούς παραγωγής και διατροφής, μεταποιητικής βιομηχανίας, τουρισμού, υποδομών και δημόσιας περιουσίας, τεχνολογίας και έξυπνης εξειδίκευσης, μεταφορών και πολιτισμού»), τη χρηματοδότηση και τη διακυβέρνηση ( διαχείριση ) του Σχεδίου Ανάπτυξης. Στην ενδιάμεση </w:t>
      </w:r>
      <w:r w:rsidRPr="00BA2ACC">
        <w:rPr>
          <w:rFonts w:ascii="Times New Roman" w:hAnsi="Times New Roman"/>
          <w:color w:val="auto"/>
          <w:sz w:val="24"/>
          <w:szCs w:val="24"/>
          <w:u w:color="C00000"/>
          <w:lang w:val="el-GR"/>
        </w:rPr>
        <w:t>μορφή της Έκθεσης δεν περιλαμβάνεται η εκτίμηση του «επενδυτικού κενού» το οποίο πρέπει να καλυφθεί σε ορισμένο χρονικό διάστημα (πχ δεκαετία). Υποθέτουμε ότι αυτή η εκτίμηση θα συνιστά κεφάλαιο της  τελικής  μορφής  της Έκθεσης που θα θέτει για όλα τα κεφάλαι</w:t>
      </w:r>
      <w:r w:rsidR="00BB76F2">
        <w:rPr>
          <w:rFonts w:ascii="Times New Roman" w:hAnsi="Times New Roman"/>
          <w:color w:val="auto"/>
          <w:sz w:val="24"/>
          <w:szCs w:val="24"/>
          <w:u w:color="C00000"/>
          <w:lang w:val="el-GR"/>
        </w:rPr>
        <w:t>ά</w:t>
      </w:r>
      <w:r w:rsidRPr="00BA2ACC">
        <w:rPr>
          <w:rFonts w:ascii="Times New Roman" w:hAnsi="Times New Roman"/>
          <w:color w:val="auto"/>
          <w:sz w:val="24"/>
          <w:szCs w:val="24"/>
          <w:u w:color="C00000"/>
          <w:lang w:val="el-GR"/>
        </w:rPr>
        <w:t xml:space="preserve"> της ποσοτικοποιημένους στόχους και αυστηρά χρονοδιαγράμματα.  </w:t>
      </w:r>
    </w:p>
    <w:p w:rsidR="0031417E" w:rsidRPr="00BA2ACC" w:rsidRDefault="0031417E">
      <w:pPr>
        <w:pStyle w:val="A3"/>
        <w:spacing w:line="360" w:lineRule="auto"/>
        <w:jc w:val="both"/>
        <w:rPr>
          <w:rFonts w:ascii="Times New Roman" w:eastAsia="Times New Roman" w:hAnsi="Times New Roman" w:cs="Times New Roman"/>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Ήδη προκλήθηκε μια prima vista  έντονη συζήτηση που εστιάστηκε στις προτάσεις που διατυπώνονται στην Έκθεση για το σύστημα κοινωνικής ασφάλισης, το φορολογικό σύστημα και ιδίως τη φορολόγηση της εργασίας και τις εργασιακές σχέσεις. Αυτά τα θέματα προσέλκυσαν το δημοσιογραφικό ενδιαφέρον.</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Ολιστικού χαρακτήρα εκθέσεις για την κατάσταση και τις προοπτικές της ελληνικής οικονομίας βοηθούν στην ανάδειξη της αλληλουχίας και αλληλεξάρτησης των επιμέρους πολιτικών που πρέπει να εφαρμοστούν και διευκολύνουν στην κατανόηση του ευρωπαϊκού και διεθνούς τοπίου στο οποίο κινείται η χώρα και της θέσης που κατέχει σε κρίσιμες ευρωπαϊκές και παγκόσμιες κατατάξεις.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lastRenderedPageBreak/>
        <w:t xml:space="preserve">Άλλωστε όλη την προηγούμενη δεκαετία η χώρα κινήθηκε στον ρυθμό μιας εξαιρετικά αυστηρής, ενίοτε ασφυκτικής ευρωπαϊκής και διεθνούς εποπτείας. Τα μνημόνια με την ΕΕ και το ΔΝΤ, οι εκθέσεις αξιολόγησης στο πλαίσιο των προγραμμάτων στήριξης, οι εκθέσεις του Ο.Ο.Σ.Α, για να μείνουμε σε θεσμικά παραδείγματα, είναι κατ’ ουσίαν ολιστικού χαρακτήρα εκθέσεις, συχνά με υψηλό βαθμό εξειδίκευσης όχι μόνο στόχων αλλά και μέτρων, με αυστηρά χρονοδιαγράμματα, με ισχυρό μηχανισμό εξωτερικής  πίεσης ( π.χ. τα περιβόητα «προαπαιτούμενα»  για την εκταμίευση δόσεων των δανείων του ESM ή των προγραμμάτων του ΔΝΤ).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Από αυτή την οπτική γωνία η ανάθεση της σύνταξης της Έκθεσης και η Έκθεση καθεαυτή</w:t>
      </w:r>
      <w:r w:rsidR="002B2FC6" w:rsidRPr="002B2FC6">
        <w:rPr>
          <w:rFonts w:ascii="Times New Roman" w:hAnsi="Times New Roman"/>
          <w:sz w:val="24"/>
          <w:szCs w:val="24"/>
          <w:lang w:val="el-GR"/>
        </w:rPr>
        <w:t xml:space="preserve"> </w:t>
      </w:r>
      <w:r w:rsidRPr="00BA2ACC">
        <w:rPr>
          <w:rFonts w:ascii="Times New Roman" w:hAnsi="Times New Roman"/>
          <w:sz w:val="24"/>
          <w:szCs w:val="24"/>
          <w:lang w:val="el-GR"/>
        </w:rPr>
        <w:t xml:space="preserve">λειτουργεί θετικά, γιατί θέτει και πάλι επί τάπητος την ανάγκη να προωθηθούν και να ολοκληρωθούν γενναίες διαρθρωτικές αλλαγές που συντίθενται σε ένα Σχέδιο Ανάπτυξης, σε ένα Εθνικό Σχέδιο Ανασυγκρότησης.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Η Έκθεση ως γεγονός πρωτίστως - ανεξαρτήτως του περιεχομένου της και των ειδικότερων αξιολογήσεων, προτιμήσεων και προτάσεών της - υπενθυμίζει στην ελληνική κοινή γνώμη και στο πολιτικό σύστημα, ότι η δήθεν συντελεσθείσα  «επάνοδος στην κανονικότητα» μπορεί να είναι μια επικίνδυνα παραπλανητική αντίληψη. Ότι το «ελληνικό ζήτημα» είναι δυστυχώς ανοικτό και επείγον. Ότι είναι ζωτική ανάγκη να ληφθούν γενναίες αποφάσεις με πολιτικό κόστος, κοινωνική συναίνεση και ιστορική διορατικότητα.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Default="0017120C">
      <w:pPr>
        <w:pStyle w:val="A3"/>
        <w:spacing w:line="360" w:lineRule="auto"/>
        <w:jc w:val="both"/>
        <w:rPr>
          <w:rFonts w:ascii="Times New Roman" w:hAnsi="Times New Roman"/>
          <w:b/>
          <w:bCs/>
          <w:sz w:val="24"/>
          <w:szCs w:val="24"/>
          <w:lang w:val="el-GR"/>
        </w:rPr>
      </w:pPr>
      <w:r w:rsidRPr="00BA2ACC">
        <w:rPr>
          <w:rFonts w:ascii="Times New Roman" w:hAnsi="Times New Roman"/>
          <w:b/>
          <w:bCs/>
          <w:sz w:val="24"/>
          <w:szCs w:val="24"/>
          <w:lang w:val="el-GR"/>
        </w:rPr>
        <w:t xml:space="preserve">Β. Η συγκυρία δεν είναι φυσιολογική - Η καταλυτική επιρροή της πανδημίας και η πρόκληση των ευρωπαϊκών πόρων </w:t>
      </w:r>
    </w:p>
    <w:p w:rsidR="00BB76F2" w:rsidRPr="00BA2ACC" w:rsidRDefault="00BB76F2">
      <w:pPr>
        <w:pStyle w:val="A3"/>
        <w:spacing w:line="360" w:lineRule="auto"/>
        <w:jc w:val="both"/>
        <w:rPr>
          <w:rFonts w:ascii="Times New Roman" w:eastAsia="Times New Roman" w:hAnsi="Times New Roman" w:cs="Times New Roman"/>
          <w:b/>
          <w:bCs/>
          <w:sz w:val="24"/>
          <w:szCs w:val="24"/>
          <w:lang w:val="el-GR"/>
        </w:rPr>
      </w:pP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Η Έκθεση όμως δεν βλέπει το φως της δημοσιότητας σε μια «φυσιολογική» περίοδο ή έστω σε μια περίοδο οικονομικής κρίσης ή οικονομικών και τεχνολογικών προκλήσεων εθνικού, ευρωπαϊκού και διεθνούς επιπέδου.</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lastRenderedPageBreak/>
        <w:t>Η Έκθεση καταρτίζεται εν μέσω της παγκόσμιας υγειονομικής, οικονομικής, κοινωνικής και ίσως ανθρωπολογικής κρίσης που προκαλεί η  πανδημία</w:t>
      </w:r>
      <w:r w:rsidRPr="00BA2ACC">
        <w:rPr>
          <w:rFonts w:ascii="Times New Roman" w:hAnsi="Times New Roman"/>
          <w:color w:val="00A2FF"/>
          <w:sz w:val="24"/>
          <w:szCs w:val="24"/>
          <w:u w:color="00A2FF"/>
          <w:lang w:val="el-GR"/>
        </w:rPr>
        <w:t xml:space="preserve"> </w:t>
      </w:r>
      <w:r w:rsidRPr="00BA2ACC">
        <w:rPr>
          <w:rFonts w:ascii="Times New Roman" w:hAnsi="Times New Roman"/>
          <w:sz w:val="24"/>
          <w:szCs w:val="24"/>
          <w:lang w:val="el-GR"/>
        </w:rPr>
        <w:t xml:space="preserve">COVID- 19, που βρίσκεται σε πλήρη και άδηλη εξέλιξη.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Η Έκθεση καταρτίζεται ενώ ισχύουν προσωρινά στην ΕΕ συνθήκες εξαίρεσης: έχει τεθεί σε εφαρμογή η «γενική ρήτρα διαφυγής» από το Σύμφωνο Σταθερότητας, δεν ισχύουν προσωρινά οι απαγορεύσεις των κρατικών ενισχύσεων, βρίσκεται σε εξέλιξη το «πανδημικό» πρόγραμμα ποσοτικής χαλάρωσης (PEPP ) της ΕΚΤ, αποφασίστηκε η γενναία χρηματοδότηση</w:t>
      </w:r>
      <w:r w:rsidR="00BB76F2">
        <w:rPr>
          <w:rFonts w:ascii="Times New Roman" w:hAnsi="Times New Roman"/>
          <w:sz w:val="24"/>
          <w:szCs w:val="24"/>
          <w:lang w:val="el-GR"/>
        </w:rPr>
        <w:t xml:space="preserve"> </w:t>
      </w:r>
      <w:r w:rsidRPr="00BA2ACC">
        <w:rPr>
          <w:rFonts w:ascii="Times New Roman" w:hAnsi="Times New Roman"/>
          <w:sz w:val="24"/>
          <w:szCs w:val="24"/>
          <w:lang w:val="el-GR"/>
        </w:rPr>
        <w:t xml:space="preserve">του λεγόμενου Ταμείου Ανάκαμψης και των συναφών προγραμμάτων με έκδοση ενωσιακού χρέους και την παροχή επιχορηγήσεων και δανείων στα κράτη μέλη σε συνδυασμό με τις προβλέψεις του πολυετούς προϋπολογισμού 2021-2027 κ.ο.κ.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Υπάρχει συνεπώς η μεγάλη πρόκληση της αξιοποίησης των πόρων που διατίθενται στην Ελλάδα: των περίπου 32 δισ. ευρώ του Ταμείου Ανάκαμψης  (περίπου 19 επιχορηγήσεων +</w:t>
      </w:r>
      <w:r w:rsidRPr="00BA2ACC">
        <w:rPr>
          <w:rFonts w:ascii="Times New Roman" w:hAnsi="Times New Roman"/>
          <w:color w:val="auto"/>
          <w:sz w:val="24"/>
          <w:szCs w:val="24"/>
          <w:u w:color="C00000"/>
          <w:lang w:val="el-GR"/>
        </w:rPr>
        <w:t xml:space="preserve">13 </w:t>
      </w:r>
      <w:r w:rsidRPr="00BA2ACC">
        <w:rPr>
          <w:rFonts w:ascii="Times New Roman" w:hAnsi="Times New Roman"/>
          <w:sz w:val="24"/>
          <w:szCs w:val="24"/>
          <w:lang w:val="el-GR"/>
        </w:rPr>
        <w:t xml:space="preserve"> δανείων</w:t>
      </w:r>
      <w:r w:rsidR="00BA2ACC">
        <w:rPr>
          <w:rFonts w:ascii="Times New Roman" w:hAnsi="Times New Roman"/>
          <w:sz w:val="24"/>
          <w:szCs w:val="24"/>
          <w:lang w:val="el-GR"/>
        </w:rPr>
        <w:t>)</w:t>
      </w:r>
      <w:r w:rsidRPr="00BA2ACC">
        <w:rPr>
          <w:rFonts w:ascii="Times New Roman" w:hAnsi="Times New Roman"/>
          <w:color w:val="C00000"/>
          <w:sz w:val="24"/>
          <w:szCs w:val="24"/>
          <w:u w:color="C00000"/>
          <w:lang w:val="el-GR"/>
        </w:rPr>
        <w:t xml:space="preserve"> </w:t>
      </w:r>
      <w:r w:rsidRPr="00BA2ACC">
        <w:rPr>
          <w:rFonts w:ascii="Times New Roman" w:hAnsi="Times New Roman"/>
          <w:sz w:val="24"/>
          <w:szCs w:val="24"/>
          <w:lang w:val="el-GR"/>
        </w:rPr>
        <w:t xml:space="preserve"> και των κονδυλίων του πολυετούς προϋπολογισμού που  μπορεί να φτάσουν αθροιστικά τα σχεδόν 40 δισ. ευρώ. Αυτά όμως είναι κονδύλια - αρχής γενομένης από τα κονδύλια του Ταμείου Ανάκαμψης και των συναφών προγραμμάτων -  που διατίθενται με συγκεκριμένα κριτήρια επιλεξιμότητας και συγκεκριμένους κανόνες διαχείρισης. Έχουν πολύ μεγάλη σημασία τα εθνικά σχέδια που θα υποβληθούν από 15 Οκτωβρίου 2020 μέχρι 30 Απριλίου 2021, προκειμένου η εκταμίευση να αρχίσει την 1 Ιανουαρίου 2021, αν και θα είναι αναδρομικά επιλέξιμες και δαπάνες που θα έχουν πραγματοποιηθεί από τον Φεβρουάριο 2020 και μετά.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Η Έκθεση θέτει συνεπώς υπό διαβούλευση τα μεγάλα ζητήματα του Σχεδίου Ανάπτυξης της χώρας και των διαρθρωτικών αλλαγών που αυτό προϋποθέτει και συνεπάγεται ενώ: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2B2FC6">
        <w:rPr>
          <w:rFonts w:ascii="Times New Roman" w:hAnsi="Times New Roman"/>
          <w:b/>
          <w:bCs/>
          <w:color w:val="auto"/>
          <w:sz w:val="24"/>
          <w:szCs w:val="24"/>
          <w:u w:color="C00000"/>
          <w:lang w:val="el-GR"/>
        </w:rPr>
        <w:t>1.</w:t>
      </w:r>
      <w:r w:rsidRPr="00BA2ACC">
        <w:rPr>
          <w:rFonts w:ascii="Times New Roman" w:hAnsi="Times New Roman"/>
          <w:color w:val="auto"/>
          <w:sz w:val="24"/>
          <w:szCs w:val="24"/>
          <w:u w:color="C00000"/>
          <w:lang w:val="el-GR"/>
        </w:rPr>
        <w:t xml:space="preserve"> Βρίσκεται </w:t>
      </w:r>
      <w:r w:rsidRPr="00BA2ACC">
        <w:rPr>
          <w:rFonts w:ascii="Times New Roman" w:hAnsi="Times New Roman"/>
          <w:sz w:val="24"/>
          <w:szCs w:val="24"/>
          <w:lang w:val="el-GR"/>
        </w:rPr>
        <w:t xml:space="preserve">υπό πλήρη εξέλιξη η πανδημία και η υγειονομική και οικονομική κρίση που αυτή προκαλεί, άρα είναι ακόμη επιτακτική η ανάγκη για τη λήψη σοβαρών και μεγάλου  δημοσιονομικού   κόστους  μέτρων στήριξης ( των επιχειρήσεων και των </w:t>
      </w:r>
      <w:r w:rsidRPr="00BA2ACC">
        <w:rPr>
          <w:rFonts w:ascii="Times New Roman" w:hAnsi="Times New Roman"/>
          <w:sz w:val="24"/>
          <w:szCs w:val="24"/>
          <w:lang w:val="el-GR"/>
        </w:rPr>
        <w:lastRenderedPageBreak/>
        <w:t xml:space="preserve">νοικοκυριών,  πολλών κατηγοριών  μισθωτών του ιδιωτικού τομέα και των ανέργων κ.ο.κ ).  Η επιχείρηση στήριξης και διάσωσης της ελληνικής οικονομίας αφορά το υφιστάμενο σχήμα, την υπάρχουσα παραγωγική δομή και την κρίση ζήτησης καθώς και την αλλαγή  στις συνθήκες εργασίας  και τις  εργασιακές σχέσεις  που προκαλεί η πανδημία. Τα μέτρα αυτά θα έχουν ενδεχομένως και περαιτέρω επιπτώσεις στο χρηματοπιστωτικό σύστημα ( μη εξυπηρετούμενη έκθεση  και όσα αυτή συνεπάγεται)  καθώς και στα χρηματοοικονομικά δεδομένα των οργανισμών κοινωνικής ασφάλισης.  Το Σχέδιο Ανάπτυξης διασταυρώνεται συνεπώς με το Σχέδιο Διάσωσης της οικονομίας από τις οικονομικές επιπτώσεις της πανδημίας και το προϋποθέτει .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2B2FC6">
        <w:rPr>
          <w:rFonts w:ascii="Times New Roman" w:hAnsi="Times New Roman"/>
          <w:b/>
          <w:bCs/>
          <w:color w:val="auto"/>
          <w:sz w:val="24"/>
          <w:szCs w:val="24"/>
          <w:u w:color="C00000"/>
          <w:lang w:val="el-GR"/>
        </w:rPr>
        <w:t>2.</w:t>
      </w:r>
      <w:r w:rsidRPr="00BA2ACC">
        <w:rPr>
          <w:rFonts w:ascii="Times New Roman" w:hAnsi="Times New Roman"/>
          <w:color w:val="auto"/>
          <w:sz w:val="24"/>
          <w:szCs w:val="24"/>
          <w:u w:color="C00000"/>
          <w:lang w:val="el-GR"/>
        </w:rPr>
        <w:t xml:space="preserve"> Έχει </w:t>
      </w:r>
      <w:r w:rsidRPr="00BA2ACC">
        <w:rPr>
          <w:rFonts w:ascii="Times New Roman" w:hAnsi="Times New Roman"/>
          <w:sz w:val="24"/>
          <w:szCs w:val="24"/>
          <w:lang w:val="el-GR"/>
        </w:rPr>
        <w:t xml:space="preserve">καταστεί ασαφές το δημοσιονομικό πλαίσιο ( βιωσιμότητα δημοσίου χρέους, στόχοι πρωτογενούς και δημοσιονομικού πλεονάσματος ελλείμματος ) εντός του οποίου θα κληθεί να κινηθεί η χώρα από τη λήξη της περιόδου εξαίρεσης λόγω πανδημίας ( επαναφορά σε ισχύ του Συμφώνου Σταθερότητας ) σε πρώτη φάση  μέχρι το 2032 (συμφωνημένο έτος ορόσημο για την επαναξιολόγηση της δυναμικής του δημοσίου χρέους) και σε δεύτερη φάση μετά το 2032.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2B2FC6">
        <w:rPr>
          <w:rFonts w:ascii="Times New Roman" w:hAnsi="Times New Roman"/>
          <w:b/>
          <w:bCs/>
          <w:color w:val="auto"/>
          <w:sz w:val="24"/>
          <w:szCs w:val="24"/>
          <w:u w:color="C00000"/>
          <w:lang w:val="el-GR"/>
        </w:rPr>
        <w:t>3.</w:t>
      </w:r>
      <w:r w:rsidRPr="00BA2ACC">
        <w:rPr>
          <w:rFonts w:ascii="Times New Roman" w:hAnsi="Times New Roman"/>
          <w:color w:val="auto"/>
          <w:sz w:val="24"/>
          <w:szCs w:val="24"/>
          <w:u w:color="C00000"/>
          <w:lang w:val="el-GR"/>
        </w:rPr>
        <w:t xml:space="preserve"> Είναι </w:t>
      </w:r>
      <w:r w:rsidRPr="00BA2ACC">
        <w:rPr>
          <w:rFonts w:ascii="Times New Roman" w:hAnsi="Times New Roman"/>
          <w:sz w:val="24"/>
          <w:szCs w:val="24"/>
          <w:lang w:val="el-GR"/>
        </w:rPr>
        <w:t>κατεπείγον ζήτημα η ολοκλήρωση και υποβολή στην ΕΕ ( στην task force που συγκροτήθηκε στους κόλπους της Ευρωπαϊκής Επιτροπής ) του ελληνικού εθνικού σχεδίου για την αξιοποίηση των πόρων ( επιχορηγήσεων και δανείων ) του Ταμείου Ανάκαμψης και των συναφών προγραμμάτων, με τους καταναγκασμούς που υπάρχουν ως προς την επιλεξιμότητα και τ</w:t>
      </w:r>
      <w:r w:rsidR="00BB76F2">
        <w:rPr>
          <w:rFonts w:ascii="Times New Roman" w:hAnsi="Times New Roman"/>
          <w:sz w:val="24"/>
          <w:szCs w:val="24"/>
          <w:lang w:val="el-GR"/>
        </w:rPr>
        <w:t>α</w:t>
      </w:r>
      <w:r w:rsidRPr="00BA2ACC">
        <w:rPr>
          <w:rFonts w:ascii="Times New Roman" w:hAnsi="Times New Roman"/>
          <w:sz w:val="24"/>
          <w:szCs w:val="24"/>
          <w:lang w:val="el-GR"/>
        </w:rPr>
        <w:t xml:space="preserve"> χρονοδιάγραμμα καθώς, όπως σημειώθηκε, τα εθνικά σχέδια πρέπει να υποβληθούν μέχρι 30 Απριλίου 2021, οι επιλέξιμες δαπάνες μπορεί να έχουν πραγματοποιηθεί από τον Φεβρουαρίου του 2020 και μετά, τα προγράμματα  πρέπει να έχουν συμβασιοποιηθεί στο σύνολο τους μέχρι το 2023 και οι πληρωμές  να έχουν συντελεσθεί μέχρι το τέλος του 2026.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2B2FC6">
        <w:rPr>
          <w:rFonts w:ascii="Times New Roman" w:hAnsi="Times New Roman"/>
          <w:b/>
          <w:bCs/>
          <w:color w:val="auto"/>
          <w:sz w:val="24"/>
          <w:szCs w:val="24"/>
          <w:u w:color="C00000"/>
          <w:lang w:val="el-GR"/>
        </w:rPr>
        <w:t>4.</w:t>
      </w:r>
      <w:r w:rsidRPr="00BB76F2">
        <w:rPr>
          <w:rFonts w:ascii="Times New Roman" w:hAnsi="Times New Roman"/>
          <w:color w:val="auto"/>
          <w:sz w:val="24"/>
          <w:szCs w:val="24"/>
          <w:u w:color="C00000"/>
          <w:lang w:val="el-GR"/>
        </w:rPr>
        <w:t xml:space="preserve"> Οι </w:t>
      </w:r>
      <w:r w:rsidRPr="00BA2ACC">
        <w:rPr>
          <w:rFonts w:ascii="Times New Roman" w:hAnsi="Times New Roman"/>
          <w:sz w:val="24"/>
          <w:szCs w:val="24"/>
          <w:lang w:val="el-GR"/>
        </w:rPr>
        <w:t>πόροι πέραν του Ταμείου Ανάπτυξης που προσδοκά να αντλήσει η χώρα από τον πολυετή προϋπολογισμό 2021-2027 ( κατά βάση το επόμενο ΕΣΠΑ και τα κονδύλια  που συνδέονται με την  ΚΑΠ / Ταμείο Αγροτικής Ανάπτυξης,</w:t>
      </w:r>
      <w:r w:rsidRPr="00BA2ACC">
        <w:rPr>
          <w:rFonts w:ascii="Times New Roman" w:hAnsi="Times New Roman"/>
          <w:color w:val="00A2FF"/>
          <w:sz w:val="24"/>
          <w:szCs w:val="24"/>
          <w:u w:color="00A2FF"/>
          <w:lang w:val="el-GR"/>
        </w:rPr>
        <w:t xml:space="preserve"> </w:t>
      </w:r>
      <w:r w:rsidRPr="00BA2ACC">
        <w:rPr>
          <w:rFonts w:ascii="Times New Roman" w:hAnsi="Times New Roman"/>
          <w:color w:val="auto"/>
          <w:sz w:val="24"/>
          <w:szCs w:val="24"/>
          <w:u w:color="00A2FF"/>
          <w:lang w:val="el-GR"/>
        </w:rPr>
        <w:t xml:space="preserve">και το πρόγραμμα </w:t>
      </w:r>
      <w:r w:rsidRPr="00BA2ACC">
        <w:rPr>
          <w:rFonts w:ascii="Times New Roman" w:hAnsi="Times New Roman"/>
          <w:color w:val="auto"/>
          <w:sz w:val="24"/>
          <w:szCs w:val="24"/>
          <w:u w:color="00A2FF"/>
          <w:lang w:val="el-GR"/>
        </w:rPr>
        <w:lastRenderedPageBreak/>
        <w:t>Έρευνας και Τεχνολογίας</w:t>
      </w:r>
      <w:r w:rsidRPr="00BA2ACC">
        <w:rPr>
          <w:rFonts w:ascii="Times New Roman" w:hAnsi="Times New Roman"/>
          <w:color w:val="auto"/>
          <w:sz w:val="24"/>
          <w:szCs w:val="24"/>
          <w:lang w:val="el-GR"/>
        </w:rPr>
        <w:t xml:space="preserve"> </w:t>
      </w:r>
      <w:r w:rsidRPr="00BA2ACC">
        <w:rPr>
          <w:rFonts w:ascii="Times New Roman" w:hAnsi="Times New Roman"/>
          <w:sz w:val="24"/>
          <w:szCs w:val="24"/>
          <w:lang w:val="el-GR"/>
        </w:rPr>
        <w:t xml:space="preserve">), πρέπει να καταστούν και αυτοί αντικείμενο επείγοντος σχεδιασμού καθώς οι σχετικές πληρωμές θα καλύψουν την περίοδο μέχρι το 2030.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Άρα το πλαίσιο μέσα στο οποίο θα κινηθεί τα επόμενα δέκα χρόνια το Πρόγραμμα Δημοσίων Επενδύσεων και το πλαίσιο μέσα στο οποίο πρέπει να διασφαλισθεί η μεγαλύτερη δυνατή ιδιωτική συμμετοχή και συνεπώς η μόχλευση των διαθέσιμων ενωσιακών πόρων, είναι δεδομένο και δεσμευτικό εκ των πραγμάτων για πολλές επιμέρους επιλογές του Σχεδίου Ανάπτυξης της χώρας, όπως το αντιλαμβάνεται και η ενδιάμεση Έκθεση. </w:t>
      </w:r>
      <w:r w:rsidRPr="00BA2ACC">
        <w:rPr>
          <w:rFonts w:ascii="Times New Roman" w:hAnsi="Times New Roman"/>
          <w:color w:val="auto"/>
          <w:sz w:val="24"/>
          <w:szCs w:val="24"/>
          <w:u w:color="C00000"/>
          <w:lang w:val="el-GR"/>
        </w:rPr>
        <w:t>Η ανάγκη μόχλευσης θέτει σειρά ζητημάτων, τόσο για την καταλληλότερη επιλογή σχήματος (παραχώρηση, ΣΔΙΤ, εταιρεία του δημοσίου ειδικού σκοπού, άλλο), τη θεσμική θωράκιση των διαδικασιών, κυρίως για τη σύντομη και ορθή  ολοκλήρωσή τους αλλά και την ανάκτηση της δημόσιας συμμετοχής σε σχετικά σύντομο χρονικό ορίζοντα.</w:t>
      </w:r>
    </w:p>
    <w:p w:rsidR="0031417E" w:rsidRDefault="0031417E">
      <w:pPr>
        <w:pStyle w:val="A3"/>
        <w:spacing w:line="360" w:lineRule="auto"/>
        <w:jc w:val="both"/>
        <w:rPr>
          <w:rFonts w:ascii="Times New Roman" w:eastAsia="Times New Roman" w:hAnsi="Times New Roman" w:cs="Times New Roman"/>
          <w:sz w:val="24"/>
          <w:szCs w:val="24"/>
          <w:lang w:val="el-GR"/>
        </w:rPr>
      </w:pPr>
    </w:p>
    <w:p w:rsidR="00BB76F2" w:rsidRPr="00BA2ACC" w:rsidRDefault="00BB76F2">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b/>
          <w:bCs/>
          <w:sz w:val="24"/>
          <w:szCs w:val="24"/>
          <w:lang w:val="el-GR"/>
        </w:rPr>
      </w:pPr>
      <w:r w:rsidRPr="00BA2ACC">
        <w:rPr>
          <w:rFonts w:ascii="Times New Roman" w:hAnsi="Times New Roman"/>
          <w:b/>
          <w:bCs/>
          <w:sz w:val="24"/>
          <w:szCs w:val="24"/>
          <w:lang w:val="el-GR"/>
        </w:rPr>
        <w:t>Γ. Η  επείγουσα ανάγκη για εθνικό σχεδιασμό 4 + 1 επιπέδων</w:t>
      </w:r>
      <w:r w:rsidRPr="00BA2ACC">
        <w:rPr>
          <w:rFonts w:ascii="Times New Roman" w:hAnsi="Times New Roman"/>
          <w:b/>
          <w:bCs/>
          <w:color w:val="7030A0"/>
          <w:sz w:val="24"/>
          <w:szCs w:val="24"/>
          <w:u w:color="7030A0"/>
          <w:lang w:val="el-GR"/>
        </w:rPr>
        <w:t xml:space="preserve"> </w:t>
      </w:r>
      <w:r w:rsidRPr="00BA2ACC">
        <w:rPr>
          <w:rFonts w:ascii="Times New Roman" w:hAnsi="Times New Roman"/>
          <w:b/>
          <w:bCs/>
          <w:sz w:val="24"/>
          <w:szCs w:val="24"/>
          <w:lang w:val="el-GR"/>
        </w:rPr>
        <w:t xml:space="preserve"> </w:t>
      </w:r>
    </w:p>
    <w:p w:rsidR="0031417E" w:rsidRDefault="0031417E">
      <w:pPr>
        <w:pStyle w:val="A3"/>
        <w:spacing w:line="360" w:lineRule="auto"/>
        <w:jc w:val="both"/>
        <w:rPr>
          <w:rFonts w:ascii="Times New Roman" w:eastAsia="Times New Roman" w:hAnsi="Times New Roman" w:cs="Times New Roman"/>
          <w:sz w:val="24"/>
          <w:szCs w:val="24"/>
          <w:lang w:val="el-GR"/>
        </w:rPr>
      </w:pPr>
    </w:p>
    <w:p w:rsidR="00BB76F2" w:rsidRPr="00BA2ACC" w:rsidRDefault="00BB76F2">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cs="Times New Roman"/>
          <w:sz w:val="24"/>
          <w:szCs w:val="24"/>
          <w:lang w:val="el-GR"/>
        </w:rPr>
        <w:t>Συνεπώς  η χώρα πρέπει να αποκτήσει υπό συνθήκες επείγοντος:</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hAnsi="Times New Roman" w:cs="Times New Roman"/>
          <w:sz w:val="24"/>
          <w:szCs w:val="24"/>
          <w:lang w:val="el-GR"/>
        </w:rPr>
      </w:pPr>
      <w:r w:rsidRPr="002B2FC6">
        <w:rPr>
          <w:rFonts w:ascii="Times New Roman" w:hAnsi="Times New Roman" w:cs="Times New Roman"/>
          <w:b/>
          <w:bCs/>
          <w:sz w:val="24"/>
          <w:szCs w:val="24"/>
          <w:lang w:val="el-GR"/>
        </w:rPr>
        <w:t>1.</w:t>
      </w:r>
      <w:r w:rsidRPr="00BA2ACC">
        <w:rPr>
          <w:rFonts w:ascii="Times New Roman" w:hAnsi="Times New Roman" w:cs="Times New Roman"/>
          <w:sz w:val="24"/>
          <w:szCs w:val="24"/>
          <w:lang w:val="el-GR"/>
        </w:rPr>
        <w:t xml:space="preserve"> Κυλιόμενο και ευέλικτο Σχέδιο Στήριξης και Διάσωσης από τις οικονομικές επιπτώσεις της πανδημίας, </w:t>
      </w:r>
    </w:p>
    <w:p w:rsidR="0031417E" w:rsidRPr="00BA2ACC" w:rsidRDefault="0031417E">
      <w:pPr>
        <w:pStyle w:val="A3"/>
        <w:spacing w:line="360" w:lineRule="auto"/>
        <w:jc w:val="both"/>
        <w:rPr>
          <w:rFonts w:ascii="Times New Roman" w:hAnsi="Times New Roman" w:cs="Times New Roman"/>
          <w:sz w:val="24"/>
          <w:szCs w:val="24"/>
          <w:lang w:val="el-GR"/>
        </w:rPr>
      </w:pPr>
    </w:p>
    <w:p w:rsidR="0031417E" w:rsidRPr="00BA2ACC" w:rsidRDefault="0017120C">
      <w:pPr>
        <w:pStyle w:val="A3"/>
        <w:spacing w:line="360" w:lineRule="auto"/>
        <w:jc w:val="both"/>
        <w:rPr>
          <w:rFonts w:ascii="Times New Roman" w:hAnsi="Times New Roman" w:cs="Times New Roman"/>
          <w:sz w:val="24"/>
          <w:szCs w:val="24"/>
          <w:lang w:val="el-GR"/>
        </w:rPr>
      </w:pPr>
      <w:r w:rsidRPr="002B2FC6">
        <w:rPr>
          <w:rFonts w:ascii="Times New Roman" w:hAnsi="Times New Roman" w:cs="Times New Roman"/>
          <w:b/>
          <w:bCs/>
          <w:sz w:val="24"/>
          <w:szCs w:val="24"/>
          <w:lang w:val="el-GR"/>
        </w:rPr>
        <w:t>2.</w:t>
      </w:r>
      <w:r w:rsidRPr="00BA2ACC">
        <w:rPr>
          <w:rFonts w:ascii="Times New Roman" w:hAnsi="Times New Roman" w:cs="Times New Roman"/>
          <w:sz w:val="24"/>
          <w:szCs w:val="24"/>
          <w:lang w:val="el-GR"/>
        </w:rPr>
        <w:t xml:space="preserve"> </w:t>
      </w:r>
      <w:r w:rsidR="002B2FC6" w:rsidRPr="002B2FC6">
        <w:rPr>
          <w:rFonts w:ascii="Times New Roman" w:hAnsi="Times New Roman" w:cs="Times New Roman"/>
          <w:sz w:val="24"/>
          <w:szCs w:val="24"/>
          <w:lang w:val="el-GR"/>
        </w:rPr>
        <w:t xml:space="preserve"> </w:t>
      </w:r>
      <w:r w:rsidRPr="00BA2ACC">
        <w:rPr>
          <w:rFonts w:ascii="Times New Roman" w:hAnsi="Times New Roman" w:cs="Times New Roman"/>
          <w:sz w:val="24"/>
          <w:szCs w:val="24"/>
          <w:lang w:val="el-GR"/>
        </w:rPr>
        <w:t xml:space="preserve">Εθνικό Σχέδιο αξιοποίησης των πόρων του Ταμείου Ανάκαμψης που αναλογούν στη χώρα με χρονοδιάγραμμα μέχρι το 2026, </w:t>
      </w:r>
    </w:p>
    <w:p w:rsidR="0031417E" w:rsidRPr="00BA2ACC" w:rsidRDefault="0031417E">
      <w:pPr>
        <w:pStyle w:val="A3"/>
        <w:spacing w:line="360" w:lineRule="auto"/>
        <w:jc w:val="both"/>
        <w:rPr>
          <w:rFonts w:ascii="Times New Roman" w:hAnsi="Times New Roman" w:cs="Times New Roman"/>
          <w:sz w:val="24"/>
          <w:szCs w:val="24"/>
          <w:lang w:val="el-GR"/>
        </w:rPr>
      </w:pPr>
    </w:p>
    <w:p w:rsidR="0031417E" w:rsidRPr="00BA2ACC" w:rsidRDefault="0017120C">
      <w:pPr>
        <w:pStyle w:val="A3"/>
        <w:spacing w:line="360" w:lineRule="auto"/>
        <w:jc w:val="both"/>
        <w:rPr>
          <w:rFonts w:ascii="Times New Roman" w:hAnsi="Times New Roman" w:cs="Times New Roman"/>
          <w:sz w:val="24"/>
          <w:szCs w:val="24"/>
          <w:lang w:val="el-GR"/>
        </w:rPr>
      </w:pPr>
      <w:r w:rsidRPr="002B2FC6">
        <w:rPr>
          <w:rFonts w:ascii="Times New Roman" w:hAnsi="Times New Roman" w:cs="Times New Roman"/>
          <w:b/>
          <w:bCs/>
          <w:sz w:val="24"/>
          <w:szCs w:val="24"/>
          <w:lang w:val="el-GR"/>
        </w:rPr>
        <w:t>3.</w:t>
      </w:r>
      <w:r w:rsidRPr="00BA2ACC">
        <w:rPr>
          <w:rFonts w:ascii="Times New Roman" w:hAnsi="Times New Roman" w:cs="Times New Roman"/>
          <w:sz w:val="24"/>
          <w:szCs w:val="24"/>
          <w:lang w:val="el-GR"/>
        </w:rPr>
        <w:t xml:space="preserve"> Εθνικό Σχέδιο αξιοποίησης του επόμενου ΕΣΠΑ και των πόρων  της  ΚΑΠ και του προγράμματος Έρευνας και Τεχνολογίας στο πλαίσιο του πολυετούς προϋπολογισμού 2021-2027 και με χρονοδιάγραμμα πληρωμών μέχρι το 2030, </w:t>
      </w:r>
    </w:p>
    <w:p w:rsidR="0031417E" w:rsidRPr="00BA2ACC" w:rsidRDefault="0031417E">
      <w:pPr>
        <w:pStyle w:val="A3"/>
        <w:spacing w:line="360" w:lineRule="auto"/>
        <w:jc w:val="both"/>
        <w:rPr>
          <w:rFonts w:ascii="Times New Roman" w:hAnsi="Times New Roman" w:cs="Times New Roman"/>
          <w:sz w:val="24"/>
          <w:szCs w:val="24"/>
          <w:lang w:val="el-GR"/>
        </w:rPr>
      </w:pPr>
    </w:p>
    <w:p w:rsidR="0031417E" w:rsidRPr="00BA2ACC" w:rsidRDefault="0017120C">
      <w:pPr>
        <w:pStyle w:val="A3"/>
        <w:spacing w:line="360" w:lineRule="auto"/>
        <w:jc w:val="both"/>
        <w:rPr>
          <w:rFonts w:ascii="Times New Roman" w:hAnsi="Times New Roman" w:cs="Times New Roman"/>
          <w:sz w:val="24"/>
          <w:szCs w:val="24"/>
          <w:lang w:val="el-GR"/>
        </w:rPr>
      </w:pPr>
      <w:r w:rsidRPr="002B2FC6">
        <w:rPr>
          <w:rFonts w:ascii="Times New Roman" w:hAnsi="Times New Roman" w:cs="Times New Roman"/>
          <w:b/>
          <w:bCs/>
          <w:sz w:val="24"/>
          <w:szCs w:val="24"/>
          <w:lang w:val="el-GR"/>
        </w:rPr>
        <w:lastRenderedPageBreak/>
        <w:t>4.</w:t>
      </w:r>
      <w:r w:rsidRPr="00BA2ACC">
        <w:rPr>
          <w:rFonts w:ascii="Times New Roman" w:hAnsi="Times New Roman" w:cs="Times New Roman"/>
          <w:sz w:val="24"/>
          <w:szCs w:val="24"/>
          <w:lang w:val="el-GR"/>
        </w:rPr>
        <w:t xml:space="preserve"> Μεσομακροπρόθεσμο δημοσιονομικό πλαίσιο δυο φάσεων, μιας πρώτης από τη λήξη της περιόδου εξαίρεσης μέχρι το 2032, και μιας δεύτερης μετά το 2032. Κάτι που προφανώς προϋποθέτει έγκαιρη διαπραγμάτευση και συμφωνία με τους εταίρους και πιστωτές της χώρας, πρωτίστως τον ESM, στο επίπεδο του Eurogroup και του Ευρωπαϊκού Συμβουλίου με σύνθεση ευρωζώνης. Ήδη </w:t>
      </w:r>
      <w:r w:rsidR="00BB76F2">
        <w:rPr>
          <w:rFonts w:ascii="Times New Roman" w:hAnsi="Times New Roman" w:cs="Times New Roman"/>
          <w:sz w:val="24"/>
          <w:szCs w:val="24"/>
          <w:lang w:val="el-GR"/>
        </w:rPr>
        <w:t>η</w:t>
      </w:r>
      <w:r w:rsidRPr="00BA2ACC">
        <w:rPr>
          <w:rFonts w:ascii="Times New Roman" w:hAnsi="Times New Roman" w:cs="Times New Roman"/>
          <w:sz w:val="24"/>
          <w:szCs w:val="24"/>
          <w:lang w:val="el-GR"/>
        </w:rPr>
        <w:t xml:space="preserve"> Ευρωπαϊκή Επιτροπή τάχθηκε υπέρ της παράτασης της περιόδου εξαίρεσης από το Σύμφωνο Σταθερότητας μέχρι το 2022.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2B2FC6">
        <w:rPr>
          <w:rFonts w:ascii="Times New Roman" w:hAnsi="Times New Roman" w:cs="Times New Roman"/>
          <w:b/>
          <w:bCs/>
          <w:sz w:val="24"/>
          <w:szCs w:val="24"/>
          <w:lang w:val="el-GR"/>
        </w:rPr>
        <w:t>4+1.</w:t>
      </w:r>
      <w:r w:rsidRPr="00BA2ACC">
        <w:rPr>
          <w:rFonts w:ascii="Times New Roman" w:hAnsi="Times New Roman" w:cs="Times New Roman"/>
          <w:sz w:val="24"/>
          <w:szCs w:val="24"/>
          <w:lang w:val="el-GR"/>
        </w:rPr>
        <w:t xml:space="preserve"> Αυτά τα </w:t>
      </w:r>
      <w:r w:rsidRPr="00BA2ACC">
        <w:rPr>
          <w:rFonts w:ascii="Times New Roman" w:hAnsi="Times New Roman" w:cs="Times New Roman"/>
          <w:i/>
          <w:iCs/>
          <w:sz w:val="24"/>
          <w:szCs w:val="24"/>
          <w:lang w:val="el-GR"/>
        </w:rPr>
        <w:t>τέσσερα ειδικά σχέδια</w:t>
      </w:r>
      <w:r w:rsidRPr="00BA2ACC">
        <w:rPr>
          <w:rFonts w:ascii="Times New Roman" w:hAnsi="Times New Roman" w:cs="Times New Roman"/>
          <w:sz w:val="24"/>
          <w:szCs w:val="24"/>
          <w:lang w:val="el-GR"/>
        </w:rPr>
        <w:t xml:space="preserve"> είναι προφανές ότι επηρεάζουν καταλυτικά τις προτεραιότητες και τα χρονοδιαγράμματα του Σχεδίου Ανάπτυξης που αποτελεί αντικείμενο της Έκθεσης. Συνεπώς όλα τα παραπάνω σχέδια, που αλληλοεπηρεάζονται αλλά δεν συνδέονται γραμμικά, συνιστούν επιμέρους κεφάλαια ενός ενιαίου εθνικού σχεδιασμού. </w:t>
      </w:r>
    </w:p>
    <w:p w:rsidR="0031417E" w:rsidRPr="00BA2ACC" w:rsidRDefault="0031417E">
      <w:pPr>
        <w:pStyle w:val="A3"/>
        <w:spacing w:line="360" w:lineRule="auto"/>
        <w:jc w:val="both"/>
        <w:rPr>
          <w:rFonts w:ascii="Times New Roman" w:eastAsia="Times New Roman" w:hAnsi="Times New Roman" w:cs="Times New Roman"/>
          <w:color w:val="7030A0"/>
          <w:sz w:val="24"/>
          <w:szCs w:val="24"/>
          <w:u w:color="7030A0"/>
          <w:lang w:val="el-GR"/>
        </w:rPr>
      </w:pPr>
    </w:p>
    <w:p w:rsidR="0031417E" w:rsidRPr="00BA2ACC" w:rsidRDefault="0017120C">
      <w:pPr>
        <w:pStyle w:val="A3"/>
        <w:spacing w:line="360" w:lineRule="auto"/>
        <w:jc w:val="both"/>
        <w:rPr>
          <w:rFonts w:ascii="Times New Roman" w:eastAsia="Times New Roman" w:hAnsi="Times New Roman" w:cs="Times New Roman"/>
          <w:color w:val="auto"/>
          <w:sz w:val="24"/>
          <w:szCs w:val="24"/>
          <w:u w:color="7030A0"/>
          <w:lang w:val="el-GR"/>
        </w:rPr>
      </w:pPr>
      <w:r w:rsidRPr="00BA2ACC">
        <w:rPr>
          <w:rFonts w:ascii="Times New Roman" w:hAnsi="Times New Roman"/>
          <w:color w:val="auto"/>
          <w:sz w:val="24"/>
          <w:szCs w:val="24"/>
          <w:u w:color="7030A0"/>
          <w:lang w:val="el-GR"/>
        </w:rPr>
        <w:t xml:space="preserve">Κρίσιμες  παράμετροι  αυτού του ενιαίου εθνικού σχεδιασμού είναι:   </w:t>
      </w:r>
    </w:p>
    <w:p w:rsidR="0031417E" w:rsidRPr="00BA2ACC" w:rsidRDefault="0031417E">
      <w:pPr>
        <w:pStyle w:val="A3"/>
        <w:spacing w:line="360" w:lineRule="auto"/>
        <w:jc w:val="both"/>
        <w:rPr>
          <w:rFonts w:ascii="Times New Roman" w:eastAsia="Times New Roman" w:hAnsi="Times New Roman" w:cs="Times New Roman"/>
          <w:color w:val="auto"/>
          <w:sz w:val="24"/>
          <w:szCs w:val="24"/>
          <w:u w:color="7030A0"/>
          <w:lang w:val="el-GR"/>
        </w:rPr>
      </w:pPr>
    </w:p>
    <w:p w:rsidR="00BA2ACC" w:rsidRPr="00BA2ACC" w:rsidRDefault="0017120C" w:rsidP="00BA2ACC">
      <w:pPr>
        <w:pStyle w:val="A3"/>
        <w:numPr>
          <w:ilvl w:val="0"/>
          <w:numId w:val="6"/>
        </w:numPr>
        <w:spacing w:line="360" w:lineRule="auto"/>
        <w:jc w:val="both"/>
        <w:rPr>
          <w:rFonts w:ascii="Times New Roman" w:eastAsia="Times New Roman" w:hAnsi="Times New Roman" w:cs="Times New Roman"/>
          <w:color w:val="auto"/>
          <w:sz w:val="24"/>
          <w:szCs w:val="24"/>
          <w:u w:color="7030A0"/>
          <w:lang w:val="el-GR"/>
        </w:rPr>
      </w:pPr>
      <w:r w:rsidRPr="00BA2ACC">
        <w:rPr>
          <w:rFonts w:ascii="Times New Roman" w:hAnsi="Times New Roman"/>
          <w:color w:val="auto"/>
          <w:sz w:val="24"/>
          <w:szCs w:val="24"/>
          <w:u w:color="7030A0"/>
          <w:lang w:val="el-GR"/>
        </w:rPr>
        <w:t>Η ανάδειξη και η αντιμετώπιση, με δέσμη γενναίων και συγκεκριμένων μέτρων,  του οξύτατου δημογραφικού προβλήματος που επηρεάζει καταλυτικά όλες τις πτυχές ενός σοβαρού μεσομακροπρόθεσμου σχεδιασμού</w:t>
      </w:r>
      <w:r w:rsidR="00BA2ACC">
        <w:rPr>
          <w:rFonts w:ascii="Times New Roman" w:hAnsi="Times New Roman"/>
          <w:color w:val="auto"/>
          <w:sz w:val="24"/>
          <w:szCs w:val="24"/>
          <w:u w:color="7030A0"/>
          <w:lang w:val="el-GR"/>
        </w:rPr>
        <w:t>.</w:t>
      </w:r>
    </w:p>
    <w:p w:rsidR="002B2FC6" w:rsidRPr="002B2FC6" w:rsidRDefault="002B2FC6" w:rsidP="002B2FC6">
      <w:pPr>
        <w:pStyle w:val="A3"/>
        <w:spacing w:line="360" w:lineRule="auto"/>
        <w:ind w:left="174"/>
        <w:jc w:val="both"/>
        <w:rPr>
          <w:rFonts w:ascii="Times New Roman" w:eastAsia="Times New Roman" w:hAnsi="Times New Roman" w:cs="Times New Roman"/>
          <w:color w:val="auto"/>
          <w:sz w:val="24"/>
          <w:szCs w:val="24"/>
          <w:u w:color="7030A0"/>
          <w:lang w:val="el-GR"/>
        </w:rPr>
      </w:pPr>
    </w:p>
    <w:p w:rsidR="00BA2ACC" w:rsidRPr="00BA2ACC" w:rsidRDefault="0017120C" w:rsidP="00BA2ACC">
      <w:pPr>
        <w:pStyle w:val="A3"/>
        <w:numPr>
          <w:ilvl w:val="0"/>
          <w:numId w:val="6"/>
        </w:numPr>
        <w:spacing w:line="360" w:lineRule="auto"/>
        <w:jc w:val="both"/>
        <w:rPr>
          <w:rFonts w:ascii="Times New Roman" w:eastAsia="Times New Roman" w:hAnsi="Times New Roman" w:cs="Times New Roman"/>
          <w:color w:val="auto"/>
          <w:sz w:val="24"/>
          <w:szCs w:val="24"/>
          <w:u w:color="7030A0"/>
          <w:lang w:val="el-GR"/>
        </w:rPr>
      </w:pPr>
      <w:r w:rsidRPr="00BA2ACC">
        <w:rPr>
          <w:rFonts w:ascii="Times New Roman" w:hAnsi="Times New Roman"/>
          <w:color w:val="auto"/>
          <w:sz w:val="24"/>
          <w:szCs w:val="24"/>
          <w:u w:color="7030A0"/>
          <w:lang w:val="el-GR"/>
        </w:rPr>
        <w:t>Ο χωρικός σχεδιασμός όλων των επιπέδων,</w:t>
      </w:r>
      <w:r w:rsidR="00BB76F2">
        <w:rPr>
          <w:rFonts w:ascii="Times New Roman" w:hAnsi="Times New Roman"/>
          <w:color w:val="auto"/>
          <w:sz w:val="24"/>
          <w:szCs w:val="24"/>
          <w:u w:color="7030A0"/>
          <w:lang w:val="el-GR"/>
        </w:rPr>
        <w:t xml:space="preserve"> </w:t>
      </w:r>
      <w:r w:rsidRPr="00BA2ACC">
        <w:rPr>
          <w:rFonts w:ascii="Times New Roman" w:hAnsi="Times New Roman"/>
          <w:color w:val="auto"/>
          <w:sz w:val="24"/>
          <w:szCs w:val="24"/>
          <w:u w:color="7030A0"/>
          <w:lang w:val="el-GR"/>
        </w:rPr>
        <w:t>χωρίς την ολοκλήρωση του οποίου καθίσταται επισφαλής,</w:t>
      </w:r>
      <w:r w:rsidR="00BB76F2">
        <w:rPr>
          <w:rFonts w:ascii="Times New Roman" w:hAnsi="Times New Roman"/>
          <w:color w:val="auto"/>
          <w:sz w:val="24"/>
          <w:szCs w:val="24"/>
          <w:u w:color="7030A0"/>
          <w:lang w:val="el-GR"/>
        </w:rPr>
        <w:t xml:space="preserve"> </w:t>
      </w:r>
      <w:r w:rsidRPr="00BA2ACC">
        <w:rPr>
          <w:rFonts w:ascii="Times New Roman" w:hAnsi="Times New Roman"/>
          <w:color w:val="auto"/>
          <w:sz w:val="24"/>
          <w:szCs w:val="24"/>
          <w:u w:color="7030A0"/>
          <w:lang w:val="el-GR"/>
        </w:rPr>
        <w:t>επιβαρύνεται με μεγάλες καθυστερήσεις και διοικητικό κόστος οποιαδήποτε επενδυτική προσπάθεια,</w:t>
      </w:r>
      <w:r w:rsidR="00BB76F2">
        <w:rPr>
          <w:rFonts w:ascii="Times New Roman" w:hAnsi="Times New Roman"/>
          <w:color w:val="auto"/>
          <w:sz w:val="24"/>
          <w:szCs w:val="24"/>
          <w:u w:color="7030A0"/>
          <w:lang w:val="el-GR"/>
        </w:rPr>
        <w:t xml:space="preserve"> </w:t>
      </w:r>
      <w:r w:rsidRPr="00BA2ACC">
        <w:rPr>
          <w:rFonts w:ascii="Times New Roman" w:hAnsi="Times New Roman"/>
          <w:color w:val="auto"/>
          <w:sz w:val="24"/>
          <w:szCs w:val="24"/>
          <w:u w:color="7030A0"/>
          <w:lang w:val="el-GR"/>
        </w:rPr>
        <w:t>δημόσια ή ιδιωτική, που δεν είναι άυλη.</w:t>
      </w:r>
      <w:r w:rsidR="00BA2ACC">
        <w:rPr>
          <w:rFonts w:ascii="Times New Roman" w:hAnsi="Times New Roman"/>
          <w:color w:val="auto"/>
          <w:sz w:val="24"/>
          <w:szCs w:val="24"/>
          <w:u w:color="7030A0"/>
          <w:lang w:val="el-GR"/>
        </w:rPr>
        <w:t xml:space="preserve"> </w:t>
      </w:r>
    </w:p>
    <w:p w:rsidR="002B2FC6" w:rsidRPr="002B2FC6" w:rsidRDefault="002B2FC6" w:rsidP="002B2FC6">
      <w:pPr>
        <w:pStyle w:val="A3"/>
        <w:spacing w:line="360" w:lineRule="auto"/>
        <w:ind w:left="534"/>
        <w:jc w:val="both"/>
        <w:rPr>
          <w:rFonts w:ascii="Times New Roman" w:eastAsia="Times New Roman" w:hAnsi="Times New Roman" w:cs="Times New Roman"/>
          <w:color w:val="auto"/>
          <w:sz w:val="24"/>
          <w:szCs w:val="24"/>
          <w:u w:color="7030A0"/>
          <w:lang w:val="el-GR"/>
        </w:rPr>
      </w:pPr>
    </w:p>
    <w:p w:rsidR="00BA2ACC" w:rsidRDefault="0017120C" w:rsidP="00BA2ACC">
      <w:pPr>
        <w:pStyle w:val="A3"/>
        <w:numPr>
          <w:ilvl w:val="0"/>
          <w:numId w:val="6"/>
        </w:numPr>
        <w:spacing w:line="360" w:lineRule="auto"/>
        <w:jc w:val="both"/>
        <w:rPr>
          <w:rFonts w:ascii="Times New Roman" w:eastAsia="Times New Roman" w:hAnsi="Times New Roman" w:cs="Times New Roman"/>
          <w:color w:val="auto"/>
          <w:sz w:val="24"/>
          <w:szCs w:val="24"/>
          <w:u w:color="7030A0"/>
          <w:lang w:val="el-GR"/>
        </w:rPr>
      </w:pPr>
      <w:r w:rsidRPr="00BA2ACC">
        <w:rPr>
          <w:rFonts w:ascii="Times New Roman" w:hAnsi="Times New Roman"/>
          <w:color w:val="auto"/>
          <w:sz w:val="24"/>
          <w:szCs w:val="24"/>
          <w:u w:color="7030A0"/>
          <w:lang w:val="el-GR"/>
        </w:rPr>
        <w:t>Ο σχεδιασμός των υποδομών, καθώς ο χρόνος ζωής τους (20-30 έτη), καθιστά αναγκαία την επιλογή εκείνων των υποδομών που θα είναι αναγκαίες όχι μόνο για την παρούσα περίοδο αλλά και για δεκαετίες μετά, ενώ θα αποκλείει υποδομές που δεν θα ανταποκρίνονται στις ειδικότερες κλιματικές συνθήκες που βάσιμα εκτιμάται ότι θα διαμορφωθούν τόσο βραχυπρόθεσμα όσο και μεσοπρόσθεσμα.</w:t>
      </w:r>
    </w:p>
    <w:p w:rsidR="002B2FC6" w:rsidRPr="002B2FC6" w:rsidRDefault="002B2FC6" w:rsidP="002B2FC6">
      <w:pPr>
        <w:pStyle w:val="A3"/>
        <w:spacing w:line="360" w:lineRule="auto"/>
        <w:ind w:left="534"/>
        <w:jc w:val="both"/>
        <w:rPr>
          <w:rFonts w:ascii="Times New Roman" w:eastAsia="Times New Roman" w:hAnsi="Times New Roman" w:cs="Times New Roman"/>
          <w:color w:val="auto"/>
          <w:sz w:val="24"/>
          <w:szCs w:val="24"/>
          <w:u w:color="7030A0"/>
          <w:lang w:val="el-GR"/>
        </w:rPr>
      </w:pPr>
    </w:p>
    <w:p w:rsidR="0031417E" w:rsidRPr="00BA2ACC" w:rsidRDefault="0017120C" w:rsidP="00BA2ACC">
      <w:pPr>
        <w:pStyle w:val="A3"/>
        <w:numPr>
          <w:ilvl w:val="0"/>
          <w:numId w:val="6"/>
        </w:numPr>
        <w:spacing w:line="360" w:lineRule="auto"/>
        <w:jc w:val="both"/>
        <w:rPr>
          <w:rFonts w:ascii="Times New Roman" w:eastAsia="Times New Roman" w:hAnsi="Times New Roman" w:cs="Times New Roman"/>
          <w:color w:val="auto"/>
          <w:sz w:val="24"/>
          <w:szCs w:val="24"/>
          <w:u w:color="7030A0"/>
          <w:lang w:val="el-GR"/>
        </w:rPr>
      </w:pPr>
      <w:r w:rsidRPr="00BA2ACC">
        <w:rPr>
          <w:rFonts w:ascii="Times New Roman" w:hAnsi="Times New Roman"/>
          <w:color w:val="auto"/>
          <w:sz w:val="24"/>
          <w:szCs w:val="24"/>
          <w:u w:color="7030A0"/>
          <w:lang w:val="el-GR"/>
        </w:rPr>
        <w:t xml:space="preserve">Η πρόβλεψη σε εθνικό και ενωσιακό επίπεδο για τον ενεργειακό μετασχηματισμό ώστε αυτός να είναι σχεδόν μηδενικού άνθρακα και παράλληλα, για γεωπολιτικούς λόγους, η ενεργειακή εξάρτηση της Ε.Ε. να έχει μειωθεί στο 35%,  με ενδιάμεσα χρονικά ορόσημα το 2030 και το 2040. </w:t>
      </w:r>
    </w:p>
    <w:p w:rsidR="0031417E" w:rsidRDefault="0031417E">
      <w:pPr>
        <w:pStyle w:val="A3"/>
        <w:spacing w:line="360" w:lineRule="auto"/>
        <w:jc w:val="both"/>
        <w:rPr>
          <w:rFonts w:ascii="Times New Roman" w:eastAsia="Times New Roman" w:hAnsi="Times New Roman" w:cs="Times New Roman"/>
          <w:color w:val="7030A0"/>
          <w:sz w:val="24"/>
          <w:szCs w:val="24"/>
          <w:u w:color="7030A0"/>
          <w:lang w:val="el-GR"/>
        </w:rPr>
      </w:pPr>
    </w:p>
    <w:p w:rsidR="001510A5" w:rsidRPr="00BA2ACC" w:rsidRDefault="001510A5">
      <w:pPr>
        <w:pStyle w:val="A3"/>
        <w:spacing w:line="360" w:lineRule="auto"/>
        <w:jc w:val="both"/>
        <w:rPr>
          <w:rFonts w:ascii="Times New Roman" w:eastAsia="Times New Roman" w:hAnsi="Times New Roman" w:cs="Times New Roman"/>
          <w:color w:val="7030A0"/>
          <w:sz w:val="24"/>
          <w:szCs w:val="24"/>
          <w:u w:color="7030A0"/>
          <w:lang w:val="el-GR"/>
        </w:rPr>
      </w:pPr>
    </w:p>
    <w:p w:rsidR="0031417E" w:rsidRPr="00BA2ACC" w:rsidRDefault="0017120C">
      <w:pPr>
        <w:pStyle w:val="A3"/>
        <w:spacing w:line="360" w:lineRule="auto"/>
        <w:jc w:val="both"/>
        <w:rPr>
          <w:rFonts w:ascii="Times New Roman" w:eastAsia="Times New Roman" w:hAnsi="Times New Roman" w:cs="Times New Roman"/>
          <w:b/>
          <w:bCs/>
          <w:color w:val="auto"/>
          <w:sz w:val="24"/>
          <w:szCs w:val="24"/>
          <w:u w:color="7030A0"/>
          <w:lang w:val="el-GR"/>
        </w:rPr>
      </w:pPr>
      <w:r w:rsidRPr="00BA2ACC">
        <w:rPr>
          <w:rFonts w:ascii="Times New Roman" w:hAnsi="Times New Roman"/>
          <w:b/>
          <w:bCs/>
          <w:color w:val="auto"/>
          <w:sz w:val="24"/>
          <w:szCs w:val="24"/>
          <w:u w:color="7030A0"/>
          <w:lang w:val="el-GR"/>
        </w:rPr>
        <w:t xml:space="preserve">Δ. Οι προϋποθέσεις </w:t>
      </w:r>
    </w:p>
    <w:p w:rsidR="0031417E" w:rsidRDefault="0031417E">
      <w:pPr>
        <w:pStyle w:val="A3"/>
        <w:spacing w:line="360" w:lineRule="auto"/>
        <w:jc w:val="both"/>
        <w:rPr>
          <w:rFonts w:ascii="Times New Roman" w:eastAsia="Times New Roman" w:hAnsi="Times New Roman" w:cs="Times New Roman"/>
          <w:sz w:val="24"/>
          <w:szCs w:val="24"/>
          <w:lang w:val="el-GR"/>
        </w:rPr>
      </w:pPr>
    </w:p>
    <w:p w:rsidR="001510A5" w:rsidRPr="00BA2ACC" w:rsidRDefault="001510A5">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Ο ενιαίος αυτός σχεδιασμός στον οποίο η συμβολή της Έκθεσης μπορεί να είναι καθοριστική υπόκειται σε προφανείς </w:t>
      </w:r>
      <w:r w:rsidRPr="00BA2ACC">
        <w:rPr>
          <w:rFonts w:ascii="Times New Roman" w:hAnsi="Times New Roman"/>
          <w:i/>
          <w:iCs/>
          <w:sz w:val="24"/>
          <w:szCs w:val="24"/>
          <w:lang w:val="el-GR"/>
        </w:rPr>
        <w:t>θεσμικές, πολιτικές, κοινωνικές</w:t>
      </w:r>
      <w:r w:rsidRPr="00BA2ACC">
        <w:rPr>
          <w:rFonts w:ascii="Times New Roman" w:hAnsi="Times New Roman"/>
          <w:sz w:val="24"/>
          <w:szCs w:val="24"/>
          <w:lang w:val="el-GR"/>
        </w:rPr>
        <w:t xml:space="preserve"> αλλά και </w:t>
      </w:r>
      <w:r w:rsidRPr="00BA2ACC">
        <w:rPr>
          <w:rFonts w:ascii="Times New Roman" w:hAnsi="Times New Roman"/>
          <w:i/>
          <w:iCs/>
          <w:sz w:val="24"/>
          <w:szCs w:val="24"/>
          <w:lang w:val="el-GR"/>
        </w:rPr>
        <w:t>γνωσιολογικές</w:t>
      </w:r>
      <w:r w:rsidRPr="00BA2ACC">
        <w:rPr>
          <w:rFonts w:ascii="Times New Roman" w:hAnsi="Times New Roman"/>
          <w:sz w:val="24"/>
          <w:szCs w:val="24"/>
          <w:lang w:val="el-GR"/>
        </w:rPr>
        <w:t xml:space="preserve"> </w:t>
      </w:r>
      <w:r w:rsidRPr="00BA2ACC">
        <w:rPr>
          <w:rFonts w:ascii="Times New Roman" w:hAnsi="Times New Roman"/>
          <w:i/>
          <w:iCs/>
          <w:sz w:val="24"/>
          <w:szCs w:val="24"/>
          <w:lang w:val="el-GR"/>
        </w:rPr>
        <w:t>προϋποθέσεις.</w:t>
      </w:r>
      <w:r w:rsidRPr="00BA2ACC">
        <w:rPr>
          <w:rFonts w:ascii="Times New Roman" w:hAnsi="Times New Roman"/>
          <w:sz w:val="24"/>
          <w:szCs w:val="24"/>
          <w:lang w:val="el-GR"/>
        </w:rPr>
        <w:t xml:space="preserve">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numPr>
          <w:ilvl w:val="0"/>
          <w:numId w:val="5"/>
        </w:numPr>
        <w:spacing w:line="360" w:lineRule="auto"/>
        <w:jc w:val="both"/>
        <w:rPr>
          <w:rFonts w:ascii="Times New Roman" w:hAnsi="Times New Roman"/>
          <w:sz w:val="24"/>
          <w:szCs w:val="24"/>
          <w:lang w:val="el-GR"/>
        </w:rPr>
      </w:pPr>
      <w:r w:rsidRPr="00BA2ACC">
        <w:rPr>
          <w:rFonts w:ascii="Times New Roman" w:hAnsi="Times New Roman"/>
          <w:sz w:val="24"/>
          <w:szCs w:val="24"/>
          <w:lang w:val="el-GR"/>
        </w:rPr>
        <w:t xml:space="preserve">Πρώτη και θεμελιώδης </w:t>
      </w:r>
      <w:r w:rsidRPr="001510A5">
        <w:rPr>
          <w:rFonts w:ascii="Times New Roman" w:hAnsi="Times New Roman"/>
          <w:i/>
          <w:iCs/>
          <w:sz w:val="24"/>
          <w:szCs w:val="24"/>
          <w:lang w:val="el-GR"/>
        </w:rPr>
        <w:t>θεσμική προϋπόθεση</w:t>
      </w:r>
      <w:r w:rsidRPr="00BA2ACC">
        <w:rPr>
          <w:rFonts w:ascii="Times New Roman" w:hAnsi="Times New Roman"/>
          <w:sz w:val="24"/>
          <w:szCs w:val="24"/>
          <w:lang w:val="el-GR"/>
        </w:rPr>
        <w:t xml:space="preserve"> είναι η Κυβέρνηση, που έχει την αρμοδιότητα για τη χάραξη της γενικής πολιτικής της χώρας, να δηλώσει τη διαθεσιμότητά της να υιοθετήσει και να παρουσιάσει με τη μορφή προτάσεων στην ΕΕ και με τη μορφή σχεδίων νόμων στη Βουλή και κανονιστικών διοικητικών πράξεων, τις  ώριμες και τελικές παραδοχές ενός πολυεπίπεδου σχεδιασμού,</w:t>
      </w:r>
      <w:r w:rsidRPr="00BA2ACC">
        <w:rPr>
          <w:rFonts w:ascii="Times New Roman" w:hAnsi="Times New Roman"/>
          <w:color w:val="7030A0"/>
          <w:sz w:val="24"/>
          <w:szCs w:val="24"/>
          <w:u w:color="7030A0"/>
          <w:lang w:val="el-GR"/>
        </w:rPr>
        <w:t xml:space="preserve"> </w:t>
      </w:r>
      <w:r w:rsidRPr="00BA2ACC">
        <w:rPr>
          <w:rFonts w:ascii="Times New Roman" w:hAnsi="Times New Roman"/>
          <w:sz w:val="24"/>
          <w:szCs w:val="24"/>
          <w:lang w:val="el-GR"/>
        </w:rPr>
        <w:t>όπως ο παραπάνω</w:t>
      </w:r>
      <w:r w:rsidRPr="00BA2ACC">
        <w:rPr>
          <w:rFonts w:ascii="Times New Roman" w:hAnsi="Times New Roman"/>
          <w:color w:val="7030A0"/>
          <w:sz w:val="24"/>
          <w:szCs w:val="24"/>
          <w:u w:color="7030A0"/>
          <w:lang w:val="el-GR"/>
        </w:rPr>
        <w:t>,</w:t>
      </w:r>
      <w:r w:rsidR="00BA2ACC">
        <w:rPr>
          <w:rFonts w:ascii="Times New Roman" w:hAnsi="Times New Roman"/>
          <w:color w:val="7030A0"/>
          <w:sz w:val="24"/>
          <w:szCs w:val="24"/>
          <w:u w:color="7030A0"/>
          <w:lang w:val="el-GR"/>
        </w:rPr>
        <w:t xml:space="preserve"> </w:t>
      </w:r>
      <w:r w:rsidRPr="00BA2ACC">
        <w:rPr>
          <w:rFonts w:ascii="Times New Roman" w:hAnsi="Times New Roman"/>
          <w:sz w:val="24"/>
          <w:szCs w:val="24"/>
          <w:lang w:val="el-GR"/>
        </w:rPr>
        <w:t xml:space="preserve">που κορυφώνεται στο Σχέδιο Ανάπτυξης. Αυτό σημαίνει ότι η Κυβέρνηση είναι έτοιμη να επανεξετάσει επιλογές που έχει ήδη εξαγγείλει ή να αναθεωρήσει νόμους που έχει ήδη ψηφίσει και εφαρμόζει: από τη φορολογική έως την κοινωνικοασφαλιστική πολιτική και από την εκπαίδευση και τη δημόσια διοίκηση μέχρι </w:t>
      </w:r>
      <w:r w:rsidRPr="00BA2ACC">
        <w:rPr>
          <w:rFonts w:ascii="Times New Roman" w:hAnsi="Times New Roman"/>
          <w:color w:val="auto"/>
          <w:sz w:val="24"/>
          <w:szCs w:val="24"/>
          <w:u w:color="7030A0"/>
          <w:lang w:val="el-GR"/>
        </w:rPr>
        <w:t xml:space="preserve">τη χωρική οργάνωση και </w:t>
      </w:r>
      <w:r w:rsidRPr="00BA2ACC">
        <w:rPr>
          <w:rFonts w:ascii="Times New Roman" w:hAnsi="Times New Roman"/>
          <w:sz w:val="24"/>
          <w:szCs w:val="24"/>
          <w:lang w:val="el-GR"/>
        </w:rPr>
        <w:t xml:space="preserve">τον σχεδιασμό των υποδομών. </w:t>
      </w:r>
    </w:p>
    <w:p w:rsidR="0031417E" w:rsidRPr="00BA2ACC" w:rsidRDefault="0031417E">
      <w:pPr>
        <w:pStyle w:val="A3"/>
        <w:spacing w:line="360" w:lineRule="auto"/>
        <w:ind w:left="360"/>
        <w:jc w:val="both"/>
        <w:rPr>
          <w:rFonts w:ascii="Times New Roman" w:eastAsia="Times New Roman" w:hAnsi="Times New Roman" w:cs="Times New Roman"/>
          <w:sz w:val="24"/>
          <w:szCs w:val="24"/>
          <w:lang w:val="el-GR"/>
        </w:rPr>
      </w:pPr>
    </w:p>
    <w:p w:rsidR="0031417E" w:rsidRPr="00BA2ACC" w:rsidRDefault="0017120C">
      <w:pPr>
        <w:pStyle w:val="A3"/>
        <w:numPr>
          <w:ilvl w:val="0"/>
          <w:numId w:val="5"/>
        </w:numPr>
        <w:spacing w:line="360" w:lineRule="auto"/>
        <w:jc w:val="both"/>
        <w:rPr>
          <w:rFonts w:ascii="Times New Roman" w:hAnsi="Times New Roman"/>
          <w:sz w:val="24"/>
          <w:szCs w:val="24"/>
          <w:lang w:val="el-GR"/>
        </w:rPr>
      </w:pPr>
      <w:r w:rsidRPr="00BA2ACC">
        <w:rPr>
          <w:rFonts w:ascii="Times New Roman" w:hAnsi="Times New Roman"/>
          <w:sz w:val="24"/>
          <w:szCs w:val="24"/>
          <w:lang w:val="el-GR"/>
        </w:rPr>
        <w:t xml:space="preserve">Δεύτερη </w:t>
      </w:r>
      <w:r w:rsidRPr="00843DB7">
        <w:rPr>
          <w:rFonts w:ascii="Times New Roman" w:hAnsi="Times New Roman"/>
          <w:i/>
          <w:iCs/>
          <w:sz w:val="24"/>
          <w:szCs w:val="24"/>
          <w:lang w:val="el-GR"/>
        </w:rPr>
        <w:t xml:space="preserve">θεσμική </w:t>
      </w:r>
      <w:r w:rsidR="00843DB7" w:rsidRPr="00843DB7">
        <w:rPr>
          <w:rFonts w:ascii="Times New Roman" w:hAnsi="Times New Roman"/>
          <w:i/>
          <w:iCs/>
          <w:sz w:val="24"/>
          <w:szCs w:val="24"/>
          <w:lang w:val="el-GR"/>
        </w:rPr>
        <w:t>προϋπόθεση</w:t>
      </w:r>
      <w:r w:rsidRPr="00843DB7">
        <w:rPr>
          <w:rFonts w:ascii="Times New Roman" w:hAnsi="Times New Roman"/>
          <w:sz w:val="24"/>
          <w:szCs w:val="24"/>
          <w:lang w:val="el-GR"/>
        </w:rPr>
        <w:t xml:space="preserve"> </w:t>
      </w:r>
      <w:r w:rsidRPr="00BA2ACC">
        <w:rPr>
          <w:rFonts w:ascii="Times New Roman" w:hAnsi="Times New Roman"/>
          <w:sz w:val="24"/>
          <w:szCs w:val="24"/>
          <w:lang w:val="el-GR"/>
        </w:rPr>
        <w:t xml:space="preserve">είναι η έγκαιρη εναρμόνιση με τις επιλογές της ΕΕ που συνιστούν οριζόντιες για όλα τα κράτη μέλη προτεραιότητες, όπως η κλιματική αλλαγή. </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numPr>
          <w:ilvl w:val="0"/>
          <w:numId w:val="5"/>
        </w:numPr>
        <w:spacing w:line="360" w:lineRule="auto"/>
        <w:jc w:val="both"/>
        <w:rPr>
          <w:rFonts w:ascii="Times New Roman" w:hAnsi="Times New Roman"/>
          <w:sz w:val="24"/>
          <w:szCs w:val="24"/>
          <w:lang w:val="el-GR"/>
        </w:rPr>
      </w:pPr>
      <w:r w:rsidRPr="00BA2ACC">
        <w:rPr>
          <w:rFonts w:ascii="Times New Roman" w:hAnsi="Times New Roman"/>
          <w:sz w:val="24"/>
          <w:szCs w:val="24"/>
          <w:lang w:val="el-GR"/>
        </w:rPr>
        <w:lastRenderedPageBreak/>
        <w:t xml:space="preserve">Τρίτη </w:t>
      </w:r>
      <w:r w:rsidR="00843DB7" w:rsidRPr="00843DB7">
        <w:rPr>
          <w:rFonts w:ascii="Times New Roman" w:hAnsi="Times New Roman"/>
          <w:i/>
          <w:iCs/>
          <w:sz w:val="24"/>
          <w:szCs w:val="24"/>
          <w:lang w:val="el-GR"/>
        </w:rPr>
        <w:t>θεσμική προϋπόθεση</w:t>
      </w:r>
      <w:r w:rsidR="00843DB7" w:rsidRPr="00843DB7">
        <w:rPr>
          <w:rFonts w:ascii="Times New Roman" w:hAnsi="Times New Roman"/>
          <w:sz w:val="24"/>
          <w:szCs w:val="24"/>
          <w:lang w:val="el-GR"/>
        </w:rPr>
        <w:t xml:space="preserve"> </w:t>
      </w:r>
      <w:r w:rsidRPr="00BA2ACC">
        <w:rPr>
          <w:rFonts w:ascii="Times New Roman" w:hAnsi="Times New Roman"/>
          <w:sz w:val="24"/>
          <w:szCs w:val="24"/>
          <w:lang w:val="el-GR"/>
        </w:rPr>
        <w:t>είναι η ανάγκη ενεργού συμμετοχής των μη πολιτικών θεσμών στην επεξεργασία του σχεδιασμού αυτού. Αυτό αφορά πρωτίστως τη συμμετοχή της Δικαιοσύνης για την υπόδειξη λύσεων σε κομβικά προβλήματα που προκαλούν μεγάλες καθυστερήσεις. Δεν νοείται πχ συζήτηση για ειδικά τμήματα δικαστηρίων που θα δικάζουν υποθέσεις επενδυτικού και γενικότερα αναπτυξιακού ενδιαφέροντος ή αλλαγή της νομοθεσίας περί δημοσίων συμβάσεων χωρίς τη συμμετοχή του ίδιου του ΣτΕ και του Ελεγκτικού Συνεδρίου.</w:t>
      </w:r>
      <w:r w:rsidRPr="00BA2ACC">
        <w:rPr>
          <w:rFonts w:ascii="Times New Roman" w:hAnsi="Times New Roman"/>
          <w:color w:val="auto"/>
          <w:sz w:val="24"/>
          <w:szCs w:val="24"/>
          <w:lang w:val="el-GR"/>
        </w:rPr>
        <w:t xml:space="preserve"> </w:t>
      </w:r>
      <w:r w:rsidRPr="00BA2ACC">
        <w:rPr>
          <w:rFonts w:ascii="Times New Roman" w:hAnsi="Times New Roman"/>
          <w:color w:val="auto"/>
          <w:sz w:val="24"/>
          <w:szCs w:val="24"/>
          <w:u w:color="C00000"/>
          <w:lang w:val="el-GR"/>
        </w:rPr>
        <w:t xml:space="preserve">Όπως επίσης δεν νοείται η κατάστρωση σχεδίου μείωσης των μη εξυπηρετουμένων ανοιγμάτων του τραπεζικού τομέα χωρίς τη συμμετοχή της ΤτΕ. </w:t>
      </w:r>
    </w:p>
    <w:p w:rsidR="0031417E" w:rsidRPr="00BA2ACC" w:rsidRDefault="0017120C">
      <w:pPr>
        <w:pStyle w:val="A3"/>
        <w:spacing w:line="360" w:lineRule="auto"/>
        <w:jc w:val="both"/>
        <w:rPr>
          <w:rFonts w:ascii="Times New Roman" w:eastAsia="Times New Roman" w:hAnsi="Times New Roman" w:cs="Times New Roman"/>
          <w:sz w:val="24"/>
          <w:szCs w:val="24"/>
          <w:lang w:val="el-GR"/>
        </w:rPr>
      </w:pPr>
      <w:r w:rsidRPr="00BA2ACC">
        <w:rPr>
          <w:rFonts w:ascii="Times New Roman" w:hAnsi="Times New Roman"/>
          <w:sz w:val="24"/>
          <w:szCs w:val="24"/>
          <w:lang w:val="el-GR"/>
        </w:rPr>
        <w:t xml:space="preserve"> </w:t>
      </w:r>
    </w:p>
    <w:p w:rsidR="0031417E" w:rsidRPr="00BA2ACC" w:rsidRDefault="0017120C">
      <w:pPr>
        <w:pStyle w:val="A3"/>
        <w:numPr>
          <w:ilvl w:val="0"/>
          <w:numId w:val="5"/>
        </w:numPr>
        <w:spacing w:line="360" w:lineRule="auto"/>
        <w:jc w:val="both"/>
        <w:rPr>
          <w:rFonts w:ascii="Times New Roman" w:hAnsi="Times New Roman"/>
          <w:sz w:val="24"/>
          <w:szCs w:val="24"/>
          <w:lang w:val="el-GR"/>
        </w:rPr>
      </w:pPr>
      <w:r w:rsidRPr="00BA2ACC">
        <w:rPr>
          <w:rFonts w:ascii="Times New Roman" w:hAnsi="Times New Roman"/>
          <w:sz w:val="24"/>
          <w:szCs w:val="24"/>
          <w:lang w:val="el-GR"/>
        </w:rPr>
        <w:t xml:space="preserve">Θεμελιώδης </w:t>
      </w:r>
      <w:r w:rsidRPr="00843DB7">
        <w:rPr>
          <w:rFonts w:ascii="Times New Roman" w:hAnsi="Times New Roman"/>
          <w:i/>
          <w:iCs/>
          <w:sz w:val="24"/>
          <w:szCs w:val="24"/>
          <w:lang w:val="el-GR"/>
        </w:rPr>
        <w:t>πολιτική προϋπόθεση</w:t>
      </w:r>
      <w:r w:rsidRPr="00BA2ACC">
        <w:rPr>
          <w:rFonts w:ascii="Times New Roman" w:hAnsi="Times New Roman"/>
          <w:sz w:val="24"/>
          <w:szCs w:val="24"/>
          <w:lang w:val="el-GR"/>
        </w:rPr>
        <w:t xml:space="preserve"> είναι η υπέρβαση των κλασικών αγκυλώσεων και στερεοτύπων του πολιτικού συστήματος και των σχέσεων κυβέρνησης / αντιπολίτευσης.</w:t>
      </w:r>
    </w:p>
    <w:p w:rsidR="0031417E" w:rsidRPr="00BA2ACC" w:rsidRDefault="0031417E">
      <w:pPr>
        <w:pStyle w:val="ListParagraph"/>
        <w:rPr>
          <w:color w:val="C00000"/>
          <w:u w:color="C00000"/>
          <w:lang w:val="el-GR"/>
        </w:rPr>
      </w:pPr>
    </w:p>
    <w:p w:rsidR="0031417E" w:rsidRPr="00BA2ACC" w:rsidRDefault="0017120C">
      <w:pPr>
        <w:pStyle w:val="A3"/>
        <w:numPr>
          <w:ilvl w:val="0"/>
          <w:numId w:val="5"/>
        </w:numPr>
        <w:spacing w:line="360" w:lineRule="auto"/>
        <w:jc w:val="both"/>
        <w:rPr>
          <w:rFonts w:ascii="Times New Roman" w:hAnsi="Times New Roman"/>
          <w:sz w:val="24"/>
          <w:szCs w:val="24"/>
          <w:lang w:val="el-GR"/>
        </w:rPr>
      </w:pPr>
      <w:r w:rsidRPr="00BA2ACC">
        <w:rPr>
          <w:rFonts w:ascii="Times New Roman" w:hAnsi="Times New Roman"/>
          <w:color w:val="auto"/>
          <w:sz w:val="24"/>
          <w:szCs w:val="24"/>
          <w:u w:color="61D836"/>
          <w:lang w:val="el-GR"/>
        </w:rPr>
        <w:t xml:space="preserve">Θεμελιώδης </w:t>
      </w:r>
      <w:r w:rsidRPr="00843DB7">
        <w:rPr>
          <w:rFonts w:ascii="Times New Roman" w:hAnsi="Times New Roman"/>
          <w:i/>
          <w:iCs/>
          <w:color w:val="auto"/>
          <w:sz w:val="24"/>
          <w:szCs w:val="24"/>
          <w:u w:color="61D836"/>
          <w:lang w:val="el-GR"/>
        </w:rPr>
        <w:t>κοινωνική προϋπόθεση</w:t>
      </w:r>
      <w:r w:rsidRPr="00BA2ACC">
        <w:rPr>
          <w:rFonts w:ascii="Times New Roman" w:hAnsi="Times New Roman"/>
          <w:color w:val="auto"/>
          <w:sz w:val="24"/>
          <w:szCs w:val="24"/>
          <w:u w:color="61D836"/>
          <w:lang w:val="el-GR"/>
        </w:rPr>
        <w:t xml:space="preserve"> είναι η εξαρχής και συνεχής συμμετοχή των κοινωνικών εταίρων, των τοπικών κοινωνιών,</w:t>
      </w:r>
      <w:r w:rsidR="00BA2ACC" w:rsidRPr="00BA2ACC">
        <w:rPr>
          <w:rFonts w:ascii="Times New Roman" w:hAnsi="Times New Roman"/>
          <w:color w:val="auto"/>
          <w:sz w:val="24"/>
          <w:szCs w:val="24"/>
          <w:u w:color="61D836"/>
          <w:lang w:val="el-GR"/>
        </w:rPr>
        <w:t xml:space="preserve"> </w:t>
      </w:r>
      <w:r w:rsidRPr="00BA2ACC">
        <w:rPr>
          <w:rFonts w:ascii="Times New Roman" w:hAnsi="Times New Roman"/>
          <w:color w:val="auto"/>
          <w:sz w:val="24"/>
          <w:szCs w:val="24"/>
          <w:u w:color="61D836"/>
          <w:lang w:val="el-GR"/>
        </w:rPr>
        <w:t xml:space="preserve">της αυτοδιοίκησης πρώτου και δεύτερου βαθμού, της κοινωνίας των πολιτών και εν τέλει του Συνταγματικού θεσμού της ΟΚΕ, </w:t>
      </w:r>
      <w:r w:rsidRPr="00BA2ACC">
        <w:rPr>
          <w:rFonts w:ascii="Times New Roman" w:hAnsi="Times New Roman"/>
          <w:sz w:val="24"/>
          <w:szCs w:val="24"/>
          <w:lang w:val="el-GR"/>
        </w:rPr>
        <w:t>των δημιουργικών δυνάμεων του τόπου, των ΑΕΙ και των ερευνητικών φορέων αλλά και του ιδιωτικού τομέα</w:t>
      </w:r>
      <w:r w:rsidR="001510A5">
        <w:rPr>
          <w:rFonts w:ascii="Times New Roman" w:hAnsi="Times New Roman"/>
          <w:sz w:val="24"/>
          <w:szCs w:val="24"/>
          <w:lang w:val="el-GR"/>
        </w:rPr>
        <w:t xml:space="preserve"> </w:t>
      </w:r>
      <w:r w:rsidRPr="00BA2ACC">
        <w:rPr>
          <w:rFonts w:ascii="Times New Roman" w:hAnsi="Times New Roman"/>
          <w:sz w:val="24"/>
          <w:szCs w:val="24"/>
          <w:lang w:val="el-GR"/>
        </w:rPr>
        <w:t>στην κατάρτιση και την εφαρμογή του εθνικού αυτού σχεδιασμού.</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Pr="00BA2ACC" w:rsidRDefault="0017120C">
      <w:pPr>
        <w:pStyle w:val="A3"/>
        <w:numPr>
          <w:ilvl w:val="0"/>
          <w:numId w:val="5"/>
        </w:numPr>
        <w:spacing w:line="360" w:lineRule="auto"/>
        <w:jc w:val="both"/>
        <w:rPr>
          <w:rFonts w:ascii="Times New Roman" w:hAnsi="Times New Roman"/>
          <w:sz w:val="24"/>
          <w:szCs w:val="24"/>
          <w:lang w:val="el-GR"/>
        </w:rPr>
      </w:pPr>
      <w:r w:rsidRPr="00BA2ACC">
        <w:rPr>
          <w:rFonts w:ascii="Times New Roman" w:hAnsi="Times New Roman"/>
          <w:sz w:val="24"/>
          <w:szCs w:val="24"/>
          <w:lang w:val="el-GR"/>
        </w:rPr>
        <w:t xml:space="preserve">Θεμελιώδης </w:t>
      </w:r>
      <w:r w:rsidRPr="00843DB7">
        <w:rPr>
          <w:rFonts w:ascii="Times New Roman" w:hAnsi="Times New Roman"/>
          <w:i/>
          <w:iCs/>
          <w:sz w:val="24"/>
          <w:szCs w:val="24"/>
          <w:lang w:val="el-GR"/>
        </w:rPr>
        <w:t>γνωσιολογική προϋπόθεση</w:t>
      </w:r>
      <w:r w:rsidRPr="00BA2ACC">
        <w:rPr>
          <w:rFonts w:ascii="Times New Roman" w:hAnsi="Times New Roman"/>
          <w:sz w:val="24"/>
          <w:szCs w:val="24"/>
          <w:lang w:val="el-GR"/>
        </w:rPr>
        <w:t xml:space="preserve"> είναι η αξιοποίηση όλων των ερευνών, μελετών, εκθέσεων, αναφορών, συζητήσεων που έχουν γίνει και γίνονται για τα υπό σχεδιασμό ζητήματα και σε όλα τα πεδία και τα επίπεδα από δημόσιους ( όπως το  ΚΕΠΠΕ ), ακαδημαϊκούς, ερευνητικούς, κοινωνικούς  μη κερδοσκοπικούς ( όπως το ΙΟΒΕ,  η ΔιαΝΕΟσις, το Δίκτυο, ο Κύκλος Ιδεών)  ή ακόμη και επιχειρηματικούς ( όπως οι διευθύνσεις μελετών των τραπεζών </w:t>
      </w:r>
      <w:r w:rsidRPr="00BA2ACC">
        <w:rPr>
          <w:rFonts w:ascii="Times New Roman" w:hAnsi="Times New Roman"/>
          <w:color w:val="auto"/>
          <w:sz w:val="24"/>
          <w:szCs w:val="24"/>
          <w:u w:color="C00000"/>
          <w:lang w:val="el-GR"/>
        </w:rPr>
        <w:t>ή ο ΣΕΒ</w:t>
      </w:r>
      <w:r w:rsidRPr="00BA2ACC">
        <w:rPr>
          <w:rFonts w:ascii="Times New Roman" w:hAnsi="Times New Roman"/>
          <w:sz w:val="24"/>
          <w:szCs w:val="24"/>
          <w:lang w:val="el-GR"/>
        </w:rPr>
        <w:t xml:space="preserve">) φορείς. Στη συζήτηση πχ για τη μεταρρύθμιση της κοινωνικής ασφάλισης έχουν διατυπωθεί εδώ και καιρό ολοκληρωμένες προτάσεις ( Νεκτάριος, </w:t>
      </w:r>
      <w:r w:rsidRPr="00BA2ACC">
        <w:rPr>
          <w:rFonts w:ascii="Times New Roman" w:hAnsi="Times New Roman"/>
          <w:color w:val="auto"/>
          <w:sz w:val="24"/>
          <w:szCs w:val="24"/>
          <w:u w:color="C00000"/>
          <w:lang w:val="el-GR"/>
        </w:rPr>
        <w:t xml:space="preserve">Τήνιος, </w:t>
      </w:r>
      <w:r w:rsidRPr="00BA2ACC">
        <w:rPr>
          <w:rFonts w:ascii="Times New Roman" w:hAnsi="Times New Roman"/>
          <w:sz w:val="24"/>
          <w:szCs w:val="24"/>
          <w:lang w:val="el-GR"/>
        </w:rPr>
        <w:t xml:space="preserve">και άλλοι ), ενώ η μελέτη της σχετικής νομολογίας είναι προκαταρκτική προϋπόθεση για οποιονδήποτε σοβαρό σχεδιασμό. Το ίδιο ισχύει για όλα τα επιμέρους </w:t>
      </w:r>
      <w:r w:rsidRPr="00BA2ACC">
        <w:rPr>
          <w:rFonts w:ascii="Times New Roman" w:hAnsi="Times New Roman"/>
          <w:sz w:val="24"/>
          <w:szCs w:val="24"/>
          <w:lang w:val="el-GR"/>
        </w:rPr>
        <w:lastRenderedPageBreak/>
        <w:t xml:space="preserve">κεφάλαια, από την υγεία έως την ενέργεια και από τη Δικαιοσύνη έως το χρηματοπιστωτικό σύστημα.  </w:t>
      </w:r>
    </w:p>
    <w:p w:rsidR="0031417E" w:rsidRPr="00BA2ACC" w:rsidRDefault="0031417E">
      <w:pPr>
        <w:pStyle w:val="ListParagraph"/>
        <w:rPr>
          <w:lang w:val="el-GR"/>
        </w:rPr>
      </w:pPr>
    </w:p>
    <w:p w:rsidR="0031417E" w:rsidRPr="00BA2ACC" w:rsidRDefault="0031417E">
      <w:pPr>
        <w:pStyle w:val="A3"/>
        <w:spacing w:line="360" w:lineRule="auto"/>
        <w:ind w:left="360"/>
        <w:jc w:val="both"/>
        <w:rPr>
          <w:rFonts w:ascii="Times New Roman" w:eastAsia="Times New Roman" w:hAnsi="Times New Roman" w:cs="Times New Roman"/>
          <w:sz w:val="24"/>
          <w:szCs w:val="24"/>
          <w:lang w:val="el-GR"/>
        </w:rPr>
      </w:pPr>
    </w:p>
    <w:p w:rsidR="0031417E" w:rsidRPr="00BA2ACC" w:rsidRDefault="0017120C">
      <w:pPr>
        <w:pStyle w:val="A3"/>
        <w:spacing w:line="360" w:lineRule="auto"/>
        <w:jc w:val="center"/>
        <w:rPr>
          <w:rFonts w:ascii="Times New Roman" w:eastAsia="Times New Roman" w:hAnsi="Times New Roman" w:cs="Times New Roman"/>
          <w:sz w:val="24"/>
          <w:szCs w:val="24"/>
          <w:lang w:val="el-GR"/>
        </w:rPr>
      </w:pPr>
      <w:r w:rsidRPr="00BA2ACC">
        <w:rPr>
          <w:rFonts w:ascii="Times New Roman" w:hAnsi="Times New Roman"/>
          <w:sz w:val="24"/>
          <w:szCs w:val="24"/>
          <w:lang w:val="el-GR"/>
        </w:rPr>
        <w:t>***</w:t>
      </w:r>
    </w:p>
    <w:p w:rsidR="0031417E" w:rsidRPr="00BA2ACC" w:rsidRDefault="0031417E">
      <w:pPr>
        <w:pStyle w:val="A3"/>
        <w:spacing w:line="360" w:lineRule="auto"/>
        <w:jc w:val="both"/>
        <w:rPr>
          <w:rFonts w:ascii="Times New Roman" w:eastAsia="Times New Roman" w:hAnsi="Times New Roman" w:cs="Times New Roman"/>
          <w:sz w:val="24"/>
          <w:szCs w:val="24"/>
          <w:lang w:val="el-GR"/>
        </w:rPr>
      </w:pPr>
    </w:p>
    <w:p w:rsidR="0031417E" w:rsidRDefault="0017120C" w:rsidP="00BA2ACC">
      <w:pPr>
        <w:pStyle w:val="A3"/>
        <w:spacing w:line="360" w:lineRule="auto"/>
        <w:jc w:val="both"/>
        <w:rPr>
          <w:rFonts w:ascii="Times New Roman" w:hAnsi="Times New Roman"/>
          <w:sz w:val="24"/>
          <w:szCs w:val="24"/>
          <w:lang w:val="el-GR"/>
        </w:rPr>
      </w:pPr>
      <w:r w:rsidRPr="00BA2ACC">
        <w:rPr>
          <w:rFonts w:ascii="Times New Roman" w:hAnsi="Times New Roman"/>
          <w:sz w:val="24"/>
          <w:szCs w:val="24"/>
          <w:lang w:val="el-GR"/>
        </w:rPr>
        <w:t xml:space="preserve">Η εκτίμησή μας είναι ότι στα μεθοδολογικά και </w:t>
      </w:r>
      <w:r w:rsidRPr="00BA2ACC">
        <w:rPr>
          <w:rFonts w:ascii="Times New Roman" w:hAnsi="Times New Roman"/>
          <w:color w:val="auto"/>
          <w:sz w:val="24"/>
          <w:szCs w:val="24"/>
          <w:u w:color="00A2FF"/>
          <w:lang w:val="el-GR"/>
        </w:rPr>
        <w:t>ουσιαστικά</w:t>
      </w:r>
      <w:r w:rsidRPr="00BA2ACC">
        <w:rPr>
          <w:rFonts w:ascii="Times New Roman" w:hAnsi="Times New Roman"/>
          <w:color w:val="00A2FF"/>
          <w:sz w:val="24"/>
          <w:szCs w:val="24"/>
          <w:u w:color="00A2FF"/>
          <w:lang w:val="el-GR"/>
        </w:rPr>
        <w:t xml:space="preserve"> </w:t>
      </w:r>
      <w:r w:rsidRPr="00BA2ACC">
        <w:rPr>
          <w:rFonts w:ascii="Times New Roman" w:hAnsi="Times New Roman"/>
          <w:sz w:val="24"/>
          <w:szCs w:val="24"/>
          <w:lang w:val="el-GR"/>
        </w:rPr>
        <w:t xml:space="preserve">αυτά συμφραζόμενα η ενδιάμεση Έκθεση της Επιτροπής Πισσαρίδη μπορεί να ολοκληρωθεί και να συμβάλει σημαντικά στον αναγκαίο εθνικό σχεδιασμό. </w:t>
      </w:r>
    </w:p>
    <w:p w:rsidR="001510A5" w:rsidRDefault="001510A5" w:rsidP="00BA2ACC">
      <w:pPr>
        <w:pStyle w:val="A3"/>
        <w:spacing w:line="360" w:lineRule="auto"/>
        <w:jc w:val="both"/>
        <w:rPr>
          <w:rFonts w:ascii="Times New Roman" w:hAnsi="Times New Roman"/>
          <w:sz w:val="24"/>
          <w:szCs w:val="24"/>
          <w:lang w:val="el-GR"/>
        </w:rPr>
      </w:pPr>
    </w:p>
    <w:p w:rsidR="001510A5" w:rsidRPr="00BA2ACC" w:rsidRDefault="001510A5" w:rsidP="00BA2ACC">
      <w:pPr>
        <w:pStyle w:val="A3"/>
        <w:spacing w:line="360" w:lineRule="auto"/>
        <w:jc w:val="both"/>
        <w:rPr>
          <w:rFonts w:ascii="Times New Roman" w:eastAsia="Times New Roman" w:hAnsi="Times New Roman" w:cs="Times New Roman"/>
          <w:sz w:val="24"/>
          <w:szCs w:val="24"/>
          <w:lang w:val="el-GR"/>
        </w:rPr>
      </w:pPr>
    </w:p>
    <w:sectPr w:rsidR="001510A5" w:rsidRPr="00BA2ACC">
      <w:headerReference w:type="default" r:id="rId8"/>
      <w:footerReference w:type="default" r:id="rId9"/>
      <w:headerReference w:type="first" r:id="rId10"/>
      <w:footerReference w:type="first" r:id="rId11"/>
      <w:pgSz w:w="11900" w:h="16840"/>
      <w:pgMar w:top="1440" w:right="1797" w:bottom="1440" w:left="1797" w:header="709" w:footer="85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A2D" w:rsidRDefault="00874A2D">
      <w:r>
        <w:separator/>
      </w:r>
    </w:p>
  </w:endnote>
  <w:endnote w:type="continuationSeparator" w:id="0">
    <w:p w:rsidR="00874A2D" w:rsidRDefault="0087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E" w:rsidRDefault="0031417E">
    <w:pPr>
      <w:pStyle w:val="Footer"/>
      <w:tabs>
        <w:tab w:val="clear" w:pos="9026"/>
        <w:tab w:val="right" w:pos="8286"/>
      </w:tabs>
    </w:pPr>
  </w:p>
  <w:p w:rsidR="0031417E" w:rsidRDefault="0031417E">
    <w:pPr>
      <w:pStyle w:val="a0"/>
      <w:jc w:val="center"/>
      <w:rPr>
        <w:sz w:val="22"/>
        <w:szCs w:val="22"/>
      </w:rPr>
    </w:pPr>
  </w:p>
  <w:p w:rsidR="0031417E" w:rsidRDefault="0031417E">
    <w:pPr>
      <w:pStyle w:val="a0"/>
      <w:jc w:val="center"/>
      <w:rPr>
        <w:sz w:val="22"/>
        <w:szCs w:val="22"/>
      </w:rPr>
    </w:pPr>
  </w:p>
  <w:p w:rsidR="0031417E" w:rsidRDefault="0017120C">
    <w:pPr>
      <w:pStyle w:val="a0"/>
      <w:jc w:val="center"/>
      <w:rPr>
        <w:sz w:val="22"/>
        <w:szCs w:val="22"/>
      </w:rPr>
    </w:pPr>
    <w:r>
      <w:rPr>
        <w:sz w:val="22"/>
        <w:szCs w:val="22"/>
      </w:rPr>
      <w:t xml:space="preserve">Παρατηρητήριο του Κύκλου Ιδεών για την αξιοποίηση των πόρων του Ταμείου Ανάκαμψης </w:t>
    </w:r>
    <w:r>
      <w:rPr>
        <w:sz w:val="22"/>
        <w:szCs w:val="22"/>
      </w:rPr>
      <w:br/>
      <w:t xml:space="preserve"> </w:t>
    </w:r>
    <w:hyperlink r:id="rId1" w:history="1">
      <w:r>
        <w:rPr>
          <w:rStyle w:val="Hyperlink0"/>
        </w:rPr>
        <w:t>ekyklos.watch</w:t>
      </w:r>
    </w:hyperlink>
  </w:p>
  <w:p w:rsidR="0031417E" w:rsidRPr="00BA2ACC" w:rsidRDefault="0031417E">
    <w:pPr>
      <w:pStyle w:val="a0"/>
      <w:jc w:val="center"/>
      <w:rPr>
        <w:sz w:val="22"/>
        <w:szCs w:val="22"/>
      </w:rPr>
    </w:pPr>
  </w:p>
  <w:p w:rsidR="0031417E" w:rsidRDefault="0031417E">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E" w:rsidRDefault="0031417E">
    <w:pPr>
      <w:pStyle w:val="a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A2D" w:rsidRDefault="00874A2D">
      <w:r>
        <w:separator/>
      </w:r>
    </w:p>
  </w:footnote>
  <w:footnote w:type="continuationSeparator" w:id="0">
    <w:p w:rsidR="00874A2D" w:rsidRDefault="00874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E" w:rsidRDefault="0017120C">
    <w:pPr>
      <w:pStyle w:val="Header"/>
      <w:tabs>
        <w:tab w:val="clear" w:pos="9026"/>
        <w:tab w:val="right" w:pos="8286"/>
      </w:tabs>
      <w:jc w:val="right"/>
    </w:pPr>
    <w:r>
      <w:fldChar w:fldCharType="begin"/>
    </w:r>
    <w:r>
      <w:instrText xml:space="preserve"> PAGE </w:instrText>
    </w:r>
    <w:r>
      <w:fldChar w:fldCharType="separate"/>
    </w:r>
    <w:r w:rsidR="00A3458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E" w:rsidRDefault="0031417E">
    <w:pPr>
      <w:pStyle w:val="a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1080F"/>
    <w:multiLevelType w:val="hybridMultilevel"/>
    <w:tmpl w:val="D05258DA"/>
    <w:styleLink w:val="2"/>
    <w:lvl w:ilvl="0" w:tplc="199A6B3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5EFB9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E204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5E840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A8C10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28D7A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4429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E23B0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EAE9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814DA4"/>
    <w:multiLevelType w:val="hybridMultilevel"/>
    <w:tmpl w:val="7FAC8AB4"/>
    <w:styleLink w:val="a"/>
    <w:lvl w:ilvl="0" w:tplc="AE54517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32462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4D47F2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8CA6BA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8FC9BD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3D6152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E7F6615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3910719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C7A4D9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285AAB"/>
    <w:multiLevelType w:val="hybridMultilevel"/>
    <w:tmpl w:val="57B676B8"/>
    <w:lvl w:ilvl="0" w:tplc="08090001">
      <w:start w:val="1"/>
      <w:numFmt w:val="bullet"/>
      <w:lvlText w:val=""/>
      <w:lvlJc w:val="left"/>
      <w:pPr>
        <w:ind w:left="53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1974" w:hanging="360"/>
      </w:pPr>
      <w:rPr>
        <w:rFonts w:ascii="Wingdings" w:hAnsi="Wingdings" w:hint="default"/>
      </w:rPr>
    </w:lvl>
    <w:lvl w:ilvl="3" w:tplc="08090001" w:tentative="1">
      <w:start w:val="1"/>
      <w:numFmt w:val="bullet"/>
      <w:lvlText w:val=""/>
      <w:lvlJc w:val="left"/>
      <w:pPr>
        <w:ind w:left="2694" w:hanging="360"/>
      </w:pPr>
      <w:rPr>
        <w:rFonts w:ascii="Symbol" w:hAnsi="Symbol" w:hint="default"/>
      </w:rPr>
    </w:lvl>
    <w:lvl w:ilvl="4" w:tplc="08090003" w:tentative="1">
      <w:start w:val="1"/>
      <w:numFmt w:val="bullet"/>
      <w:lvlText w:val="o"/>
      <w:lvlJc w:val="left"/>
      <w:pPr>
        <w:ind w:left="3414" w:hanging="360"/>
      </w:pPr>
      <w:rPr>
        <w:rFonts w:ascii="Courier New" w:hAnsi="Courier New" w:cs="Courier New" w:hint="default"/>
      </w:rPr>
    </w:lvl>
    <w:lvl w:ilvl="5" w:tplc="08090005" w:tentative="1">
      <w:start w:val="1"/>
      <w:numFmt w:val="bullet"/>
      <w:lvlText w:val=""/>
      <w:lvlJc w:val="left"/>
      <w:pPr>
        <w:ind w:left="4134" w:hanging="360"/>
      </w:pPr>
      <w:rPr>
        <w:rFonts w:ascii="Wingdings" w:hAnsi="Wingdings" w:hint="default"/>
      </w:rPr>
    </w:lvl>
    <w:lvl w:ilvl="6" w:tplc="08090001" w:tentative="1">
      <w:start w:val="1"/>
      <w:numFmt w:val="bullet"/>
      <w:lvlText w:val=""/>
      <w:lvlJc w:val="left"/>
      <w:pPr>
        <w:ind w:left="4854" w:hanging="360"/>
      </w:pPr>
      <w:rPr>
        <w:rFonts w:ascii="Symbol" w:hAnsi="Symbol" w:hint="default"/>
      </w:rPr>
    </w:lvl>
    <w:lvl w:ilvl="7" w:tplc="08090003" w:tentative="1">
      <w:start w:val="1"/>
      <w:numFmt w:val="bullet"/>
      <w:lvlText w:val="o"/>
      <w:lvlJc w:val="left"/>
      <w:pPr>
        <w:ind w:left="5574" w:hanging="360"/>
      </w:pPr>
      <w:rPr>
        <w:rFonts w:ascii="Courier New" w:hAnsi="Courier New" w:cs="Courier New" w:hint="default"/>
      </w:rPr>
    </w:lvl>
    <w:lvl w:ilvl="8" w:tplc="08090005" w:tentative="1">
      <w:start w:val="1"/>
      <w:numFmt w:val="bullet"/>
      <w:lvlText w:val=""/>
      <w:lvlJc w:val="left"/>
      <w:pPr>
        <w:ind w:left="6294" w:hanging="360"/>
      </w:pPr>
      <w:rPr>
        <w:rFonts w:ascii="Wingdings" w:hAnsi="Wingdings" w:hint="default"/>
      </w:rPr>
    </w:lvl>
  </w:abstractNum>
  <w:abstractNum w:abstractNumId="3" w15:restartNumberingAfterBreak="0">
    <w:nsid w:val="210C0178"/>
    <w:multiLevelType w:val="hybridMultilevel"/>
    <w:tmpl w:val="D05258DA"/>
    <w:numStyleLink w:val="2"/>
  </w:abstractNum>
  <w:abstractNum w:abstractNumId="4" w15:restartNumberingAfterBreak="0">
    <w:nsid w:val="71187C42"/>
    <w:multiLevelType w:val="hybridMultilevel"/>
    <w:tmpl w:val="7FAC8AB4"/>
    <w:numStyleLink w:val="a"/>
  </w:abstractNum>
  <w:num w:numId="1">
    <w:abstractNumId w:val="1"/>
  </w:num>
  <w:num w:numId="2">
    <w:abstractNumId w:val="4"/>
  </w:num>
  <w:num w:numId="3">
    <w:abstractNumId w:val="4"/>
    <w:lvlOverride w:ilvl="0">
      <w:lvl w:ilvl="0" w:tplc="0050487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0523FF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0CD22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3A1E8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86992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AA941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C5EA306">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D8883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BE621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7E"/>
    <w:rsid w:val="001510A5"/>
    <w:rsid w:val="00151C0B"/>
    <w:rsid w:val="0017120C"/>
    <w:rsid w:val="001F4F56"/>
    <w:rsid w:val="002B2FC6"/>
    <w:rsid w:val="0031417E"/>
    <w:rsid w:val="00742D06"/>
    <w:rsid w:val="00843DB7"/>
    <w:rsid w:val="00874A2D"/>
    <w:rsid w:val="00A21A9A"/>
    <w:rsid w:val="00A34582"/>
    <w:rsid w:val="00B57657"/>
    <w:rsid w:val="00BA2ACC"/>
    <w:rsid w:val="00BB76F2"/>
    <w:rsid w:val="00E607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5603B-22E9-0C4B-AEE6-A7C6C3A9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l-GR"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pPr>
      <w:tabs>
        <w:tab w:val="center" w:pos="4513"/>
        <w:tab w:val="right" w:pos="9026"/>
      </w:tabs>
    </w:pPr>
    <w:rPr>
      <w:rFonts w:cs="Arial Unicode MS"/>
      <w:color w:val="000000"/>
      <w:sz w:val="24"/>
      <w:szCs w:val="24"/>
      <w:u w:color="000000"/>
      <w:lang w:val="en-US"/>
    </w:rPr>
  </w:style>
  <w:style w:type="paragraph" w:customStyle="1" w:styleId="a0">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1">
    <w:name w:val="Σύνδεσμος"/>
    <w:rPr>
      <w:outline w:val="0"/>
      <w:color w:val="0000FF"/>
      <w:u w:val="single" w:color="0000FF"/>
    </w:rPr>
  </w:style>
  <w:style w:type="character" w:customStyle="1" w:styleId="Hyperlink0">
    <w:name w:val="Hyperlink.0"/>
    <w:basedOn w:val="a1"/>
    <w:rPr>
      <w:outline w:val="0"/>
      <w:color w:val="000000"/>
      <w:sz w:val="22"/>
      <w:szCs w:val="22"/>
      <w:u w:val="single" w:color="000000"/>
    </w:rPr>
  </w:style>
  <w:style w:type="paragraph" w:customStyle="1" w:styleId="a2">
    <w:name w:val="Κεφαλίδα και υποσέλιδο"/>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3">
    <w:name w:val="Κύριο τμήμα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a">
    <w:name w:val="Κουκκίδες"/>
    <w:pPr>
      <w:numPr>
        <w:numId w:val="1"/>
      </w:numPr>
    </w:pPr>
  </w:style>
  <w:style w:type="numbering" w:customStyle="1" w:styleId="2">
    <w:name w:val="Εισήχθηκε το στιλ 2"/>
    <w:pPr>
      <w:numPr>
        <w:numId w:val="4"/>
      </w:numPr>
    </w:pPr>
  </w:style>
  <w:style w:type="paragraph" w:styleId="ListParagraph">
    <w:name w:val="List Paragraph"/>
    <w:pPr>
      <w:ind w:left="720"/>
    </w:pPr>
    <w:rPr>
      <w:rFonts w:eastAsia="Times New Roman"/>
      <w:color w:val="000000"/>
      <w:sz w:val="24"/>
      <w:szCs w:val="24"/>
      <w:u w:color="000000"/>
      <w:lang w:val="en-US"/>
    </w:rPr>
  </w:style>
  <w:style w:type="paragraph" w:styleId="BalloonText">
    <w:name w:val="Balloon Text"/>
    <w:basedOn w:val="Normal"/>
    <w:link w:val="BalloonTextChar"/>
    <w:uiPriority w:val="99"/>
    <w:semiHidden/>
    <w:unhideWhenUsed/>
    <w:rsid w:val="001F4F56"/>
    <w:rPr>
      <w:sz w:val="18"/>
      <w:szCs w:val="18"/>
    </w:rPr>
  </w:style>
  <w:style w:type="character" w:customStyle="1" w:styleId="BalloonTextChar">
    <w:name w:val="Balloon Text Char"/>
    <w:basedOn w:val="DefaultParagraphFont"/>
    <w:link w:val="BalloonText"/>
    <w:uiPriority w:val="99"/>
    <w:semiHidden/>
    <w:rsid w:val="001F4F56"/>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kyklos.watch/"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2438</Words>
  <Characters>13171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Αργυρώ Τσατσούλη</dc:creator>
  <cp:lastModifiedBy>Αργυρώ Τσατσούλη</cp:lastModifiedBy>
  <cp:revision>2</cp:revision>
  <cp:lastPrinted>2020-08-16T17:22:00Z</cp:lastPrinted>
  <dcterms:created xsi:type="dcterms:W3CDTF">2020-08-17T18:37:00Z</dcterms:created>
  <dcterms:modified xsi:type="dcterms:W3CDTF">2020-08-17T18:37:00Z</dcterms:modified>
</cp:coreProperties>
</file>